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bookmarkStart w:id="0" w:name="RANGE!A1:AH10"/>
      <w:bookmarkEnd w:id="0"/>
      <w:r>
        <w:rPr>
          <w:rFonts w:hint="eastAsia" w:ascii="方正小标宋简体" w:hAnsi="Times New Roman" w:eastAsia="方正小标宋简体" w:cs="Times New Roman"/>
          <w:sz w:val="44"/>
          <w:szCs w:val="44"/>
        </w:rPr>
        <w:t>霸州市档案馆20</w:t>
      </w:r>
      <w:r>
        <w:rPr>
          <w:rFonts w:ascii="方正小标宋简体" w:hAnsi="Times New Roman" w:eastAsia="方正小标宋简体" w:cs="Times New Roman"/>
          <w:sz w:val="44"/>
          <w:szCs w:val="44"/>
        </w:rPr>
        <w:t>2</w:t>
      </w:r>
      <w:r>
        <w:rPr>
          <w:rFonts w:hint="eastAsia" w:ascii="方正小标宋简体" w:hAnsi="Times New Roman" w:eastAsia="方正小标宋简体" w:cs="Times New Roman"/>
          <w:sz w:val="44"/>
          <w:szCs w:val="44"/>
        </w:rPr>
        <w:t>1年部门预算信息公开</w:t>
      </w:r>
    </w:p>
    <w:p>
      <w:pPr>
        <w:spacing w:line="584"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霸州市档案馆</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（一）贯彻执行国家、河北省、廊坊市有关档案管理的法律、法规、规章。</w:t>
      </w:r>
    </w:p>
    <w:p>
      <w:pPr>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（二）集中统一管理市直机关各历史时期的档案资料，保守党和国家机密，维护档案完整，确保档案资料安全。</w:t>
      </w:r>
    </w:p>
    <w:p>
      <w:pPr>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（三）接收市委、市人大、市政府、市政协、市纪委监委及市直各机关、单位应进馆的档案资料。</w:t>
      </w:r>
    </w:p>
    <w:p>
      <w:pPr>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（四）征集散存在社会上对国家和社会有保存价值的珍贵档案资料。</w:t>
      </w:r>
    </w:p>
    <w:p>
      <w:pPr>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（五）负责馆藏档案资料的整理、编目、鉴定、统计和技术保护工作。</w:t>
      </w:r>
    </w:p>
    <w:p>
      <w:pPr>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（六）依法开放档案，为党和政府及社会各方面提供利用服务。</w:t>
      </w:r>
    </w:p>
    <w:p>
      <w:pPr>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（七）承担政府公开信息的收集、管理和集中查阅工作。</w:t>
      </w:r>
    </w:p>
    <w:p>
      <w:pPr>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（八）开发档案信息资源，开展档案史料编研出版、展览陈列和社会教育活动。</w:t>
      </w:r>
    </w:p>
    <w:p>
      <w:pPr>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（九）运用现代化技术手段，开展馆藏档案信息化建设。</w:t>
      </w:r>
    </w:p>
    <w:p>
      <w:pPr>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（十）完成市委交办的其他任务。</w:t>
      </w: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霸州市档案馆</w:t>
            </w:r>
          </w:p>
        </w:tc>
        <w:tc>
          <w:tcPr>
            <w:tcW w:w="1866"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事业单位</w:t>
            </w:r>
          </w:p>
        </w:tc>
        <w:tc>
          <w:tcPr>
            <w:tcW w:w="1536"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正科级</w:t>
            </w:r>
          </w:p>
        </w:tc>
        <w:tc>
          <w:tcPr>
            <w:tcW w:w="2642"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财政性资金基本保证</w:t>
            </w:r>
          </w:p>
        </w:tc>
      </w:tr>
    </w:tbl>
    <w:p>
      <w:pPr>
        <w:spacing w:line="560" w:lineRule="exact"/>
        <w:rPr>
          <w:rFonts w:ascii="仿宋" w:hAnsi="仿宋" w:eastAsia="仿宋"/>
          <w:b/>
          <w:color w:val="FF0000"/>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spacing w:line="584" w:lineRule="exact"/>
        <w:ind w:firstLine="640" w:firstLineChars="200"/>
        <w:rPr>
          <w:rFonts w:ascii="仿宋_GB2312" w:hAnsi="Times New Roman" w:eastAsia="仿宋_GB2312" w:cs="Times New Roman"/>
          <w:color w:val="FF0000"/>
          <w:sz w:val="32"/>
          <w:szCs w:val="32"/>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rPr>
        <w:t>霸州市档案馆</w:t>
      </w:r>
      <w:r>
        <w:rPr>
          <w:rFonts w:ascii="Times New Roman" w:hAnsi="Times New Roman" w:eastAsia="仿宋_GB2312" w:cs="Times New Roman"/>
          <w:sz w:val="32"/>
          <w:szCs w:val="32"/>
        </w:rPr>
        <w:t>的收支包含在部门预算中。</w:t>
      </w:r>
      <w:r>
        <w:rPr>
          <w:rFonts w:hint="eastAsia" w:ascii="Times New Roman" w:hAnsi="Times New Roman" w:eastAsia="仿宋_GB2312" w:cs="Times New Roman"/>
          <w:sz w:val="32"/>
          <w:szCs w:val="32"/>
        </w:rPr>
        <w:t>（因我部门除机关外，无其他下属预算单位，部门预算即为机关预算，不再单独公开机关预算和单位预算。）</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反映本部门当年全部收入。20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1年预算收入234.25万元，其中：一般公共预算收入234.25万元，政府性基金预算收入0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，财政专户管理资金收入0万元，</w:t>
      </w:r>
      <w:r>
        <w:rPr>
          <w:rFonts w:ascii="仿宋_GB2312" w:hAnsi="Times New Roman" w:eastAsia="仿宋_GB2312" w:cs="Times New Roman"/>
          <w:sz w:val="32"/>
          <w:szCs w:val="32"/>
        </w:rPr>
        <w:t>上级补助收入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事业收入0万元，经营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rPr>
        <w:t>0万元，附属单位上缴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其他收入0万元，上年结转0万元。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收支预算总表支出栏、基本支出表、项目支出表按经济分类和支出功能分类科目编制，反映霸州市档案馆20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1年度部门预算中支出预算的总体情况。20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1年本部门支出预算234.25万元，其中：基本支出234.25万元，包括：人员类项目经费197.02</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和运转类公用项目经费37.23</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；运转类其他及特定目标类项目支出0万元，全部为本级</w:t>
      </w:r>
      <w:r>
        <w:rPr>
          <w:rFonts w:ascii="仿宋_GB2312" w:hAnsi="Times New Roman" w:eastAsia="仿宋_GB2312" w:cs="Times New Roman"/>
          <w:sz w:val="32"/>
          <w:szCs w:val="32"/>
        </w:rPr>
        <w:t>支出，</w:t>
      </w:r>
      <w:r>
        <w:rPr>
          <w:rFonts w:hint="eastAsia" w:ascii="仿宋_GB2312" w:hAnsi="Times New Roman" w:eastAsia="仿宋_GB2312" w:cs="Times New Roman"/>
          <w:sz w:val="32"/>
          <w:szCs w:val="32"/>
        </w:rPr>
        <w:t>主要为人员经费和公用经费；上缴上级支出0万元，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对附属单位补助支出0万元。</w:t>
      </w:r>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20</w:t>
      </w:r>
      <w:r>
        <w:rPr>
          <w:rFonts w:ascii="仿宋_GB2312" w:hAnsi="Times New Roman" w:eastAsia="仿宋_GB2312" w:cs="Times New Roman"/>
          <w:color w:val="000000" w:themeColor="text1"/>
          <w:sz w:val="32"/>
          <w:szCs w:val="32"/>
        </w:rPr>
        <w:t>2</w:t>
      </w:r>
      <w:r>
        <w:rPr>
          <w:rFonts w:hint="eastAsia" w:ascii="仿宋_GB2312" w:hAnsi="Times New Roman" w:eastAsia="仿宋_GB2312" w:cs="Times New Roman"/>
          <w:color w:val="000000" w:themeColor="text1"/>
          <w:sz w:val="32"/>
          <w:szCs w:val="32"/>
        </w:rPr>
        <w:t>1年预算收支安排234.25万元，较2020预算</w:t>
      </w:r>
      <w:r>
        <w:rPr>
          <w:rFonts w:hint="eastAsia" w:ascii="仿宋_GB2312" w:hAnsi="Times New Roman" w:eastAsia="仿宋_GB2312" w:cs="Times New Roman"/>
          <w:sz w:val="32"/>
          <w:szCs w:val="32"/>
        </w:rPr>
        <w:t>增加</w:t>
      </w:r>
      <w:r>
        <w:rPr>
          <w:rFonts w:hint="eastAsia" w:ascii="仿宋_GB2312" w:hAnsi="Times New Roman" w:eastAsia="仿宋_GB2312" w:cs="Times New Roman"/>
          <w:color w:val="000000" w:themeColor="text1"/>
          <w:sz w:val="32"/>
          <w:szCs w:val="32"/>
        </w:rPr>
        <w:t>5.42万元，其中：基本支出增加5.42万元，主要为增加了人员经费和公用经费的支出；项目支出0万元，主要为无项目支出。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2021年，我部门运行经费共计安排37.23万元，主要用于办公区的日常维修、办公用房水电费、办公用房取暖费、办公及印刷费，邮电费、差旅费、福利费</w:t>
      </w:r>
      <w:bookmarkStart w:id="2" w:name="_GoBack"/>
      <w:bookmarkEnd w:id="2"/>
      <w:r>
        <w:rPr>
          <w:rFonts w:hint="eastAsia" w:ascii="仿宋_GB2312" w:hAnsi="Times New Roman" w:eastAsia="仿宋_GB2312" w:cs="Times New Roman"/>
          <w:sz w:val="32"/>
          <w:szCs w:val="32"/>
        </w:rPr>
        <w:t>及一般设备购置费、办公用房物业管理费、公务用车运行维护费等日常运行支出。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1年，我部门“三公”经费预算安排2.6万元，其中：因公出国（境）费0万元；公务用车购置及运维费2.5万元（其中：公务用车购置费0万元，公务用车运行维护费2.5万元)；公务接待费0.1万元，较2020年“三公”经费</w:t>
      </w:r>
      <w:r>
        <w:rPr>
          <w:rFonts w:hint="eastAsia" w:ascii="仿宋_GB2312" w:hAnsi="Times New Roman" w:eastAsia="仿宋_GB2312" w:cs="Times New Roman"/>
          <w:color w:val="000000" w:themeColor="text1"/>
          <w:sz w:val="32"/>
          <w:szCs w:val="32"/>
        </w:rPr>
        <w:t>增加2.41</w:t>
      </w:r>
      <w:r>
        <w:rPr>
          <w:rFonts w:hint="eastAsia" w:ascii="仿宋_GB2312" w:hAnsi="Times New Roman" w:eastAsia="仿宋_GB2312" w:cs="Times New Roman"/>
          <w:sz w:val="32"/>
          <w:szCs w:val="32"/>
        </w:rPr>
        <w:t>万元，主要是因为因公出国（境）费与2020年持平，无增减变化；公务用车购置费与2020年持平，无增减变化；公务用车运行维护费较2020年增加了2.5万元，增加原因为公车老化需要运行维护；公务接待费减少0.09万元，减少原因为压减开支。</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五、预算绩效信息</w:t>
      </w:r>
    </w:p>
    <w:p>
      <w:pPr>
        <w:autoSpaceDE w:val="0"/>
        <w:autoSpaceDN w:val="0"/>
        <w:adjustRightInd w:val="0"/>
        <w:ind w:firstLine="643" w:firstLineChars="200"/>
        <w:jc w:val="left"/>
        <w:rPr>
          <w:rFonts w:ascii="楷体_GB2312" w:hAnsi="Times New Roman" w:eastAsia="楷体_GB2312" w:cs="Times New Roman"/>
          <w:b/>
          <w:sz w:val="32"/>
          <w:szCs w:val="32"/>
        </w:rPr>
      </w:pPr>
      <w:bookmarkStart w:id="1" w:name="_Toc471398463"/>
      <w:r>
        <w:rPr>
          <w:rFonts w:hint="eastAsia" w:ascii="楷体_GB2312" w:hAnsi="Times New Roman" w:eastAsia="楷体_GB2312" w:cs="Times New Roman"/>
          <w:b/>
          <w:sz w:val="32"/>
          <w:szCs w:val="32"/>
        </w:rPr>
        <w:t>第一部分 部门整体绩效</w:t>
      </w:r>
      <w:r>
        <w:rPr>
          <w:rFonts w:ascii="楷体_GB2312" w:hAnsi="Times New Roman" w:eastAsia="楷体_GB2312" w:cs="Times New Roman"/>
          <w:b/>
          <w:sz w:val="32"/>
          <w:szCs w:val="32"/>
        </w:rPr>
        <w:t>目标</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w:t>
      </w:r>
      <w:r>
        <w:rPr>
          <w:rFonts w:ascii="仿宋_GB2312" w:hAnsi="Times New Roman" w:eastAsia="仿宋_GB2312" w:cs="Times New Roman"/>
          <w:sz w:val="32"/>
          <w:szCs w:val="32"/>
        </w:rPr>
        <w:t>总体绩效目标</w:t>
      </w:r>
    </w:p>
    <w:p>
      <w:pPr>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202</w:t>
      </w:r>
      <w:r>
        <w:rPr>
          <w:rFonts w:hint="eastAsia" w:ascii="仿宋_GB2312" w:hAnsi="Times New Roman" w:eastAsia="仿宋_GB2312" w:cs="Times New Roman"/>
          <w:sz w:val="32"/>
          <w:szCs w:val="32"/>
        </w:rPr>
        <w:t>1</w:t>
      </w:r>
      <w:r>
        <w:rPr>
          <w:rFonts w:ascii="仿宋_GB2312" w:hAnsi="Times New Roman" w:eastAsia="仿宋_GB2312" w:cs="Times New Roman"/>
          <w:sz w:val="32"/>
          <w:szCs w:val="32"/>
        </w:rPr>
        <w:t>年霸州市档案馆总体发展规划目标是深入贯彻落实党的十九大和习近平新时代中国特色社会主义精神，以习近平总书记系列重要讲话精神为指导，坚定不移地把“为党管档、为国守史、为民服务”的职责落实到每一项具体的档案工作任务中，增强档案意识，实现档案文化价值，把档案馆库建设作为当前工作的重中之重，积极推进。强化国家档案资源建设，加快档案信息化建设，把建设数字档案馆（室）作为档案事业发展的重要任务，列入信息化建设整体规划。扎实做好档案安全与修复管理工作。对馆藏年代久远和国家重点档案采取裱糊、加固等方式进行修复整理，满足长期利用效果。</w:t>
      </w:r>
      <w:r>
        <w:rPr>
          <w:rFonts w:hint="eastAsia" w:ascii="仿宋_GB2312" w:hAnsi="Times New Roman" w:eastAsia="仿宋_GB2312" w:cs="Times New Roman"/>
          <w:sz w:val="32"/>
          <w:szCs w:val="32"/>
        </w:rPr>
        <w:t>（二）分项</w:t>
      </w:r>
      <w:r>
        <w:rPr>
          <w:rFonts w:ascii="仿宋_GB2312" w:hAnsi="Times New Roman" w:eastAsia="仿宋_GB2312" w:cs="Times New Roman"/>
          <w:sz w:val="32"/>
          <w:szCs w:val="32"/>
        </w:rPr>
        <w:t>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ascii="仿宋_GB2312" w:hAnsi="Times New Roman" w:eastAsia="仿宋_GB2312" w:cs="Times New Roman"/>
          <w:sz w:val="32"/>
          <w:szCs w:val="32"/>
        </w:rPr>
        <w:t>档案资料保管工作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Times New Roman" w:eastAsia="仿宋_GB2312" w:cs="Times New Roman"/>
          <w:sz w:val="32"/>
          <w:szCs w:val="32"/>
        </w:rPr>
      </w:pPr>
      <w:r>
        <w:rPr>
          <w:rFonts w:ascii="仿宋_GB2312" w:hAnsi="Times New Roman" w:eastAsia="仿宋_GB2312" w:cs="Times New Roman"/>
          <w:sz w:val="32"/>
          <w:szCs w:val="32"/>
        </w:rPr>
        <w:t>绩效目标：及时接收保管档案，确保正常办公。</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Times New Roman" w:eastAsia="仿宋_GB2312" w:cs="Times New Roman"/>
          <w:sz w:val="32"/>
          <w:szCs w:val="32"/>
        </w:rPr>
      </w:pPr>
      <w:r>
        <w:rPr>
          <w:rFonts w:ascii="仿宋_GB2312" w:hAnsi="Times New Roman" w:eastAsia="仿宋_GB2312" w:cs="Times New Roman"/>
          <w:sz w:val="32"/>
          <w:szCs w:val="32"/>
        </w:rPr>
        <w:t xml:space="preserve">绩效指标：“档案整理完成率≥90%”、“档案接收率率≥90%”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ascii="仿宋_GB2312" w:hAnsi="Times New Roman" w:eastAsia="仿宋_GB2312" w:cs="Times New Roman"/>
          <w:sz w:val="32"/>
          <w:szCs w:val="32"/>
        </w:rPr>
        <w:t>档案资料数字化工作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Times New Roman" w:eastAsia="仿宋_GB2312" w:cs="Times New Roman"/>
          <w:sz w:val="32"/>
          <w:szCs w:val="32"/>
        </w:rPr>
      </w:pPr>
      <w:r>
        <w:rPr>
          <w:rFonts w:ascii="仿宋_GB2312" w:hAnsi="Times New Roman" w:eastAsia="仿宋_GB2312" w:cs="Times New Roman"/>
          <w:sz w:val="32"/>
          <w:szCs w:val="32"/>
        </w:rPr>
        <w:t>绩效目标：完成档案数字化扫描，生成电子目录。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Times New Roman" w:eastAsia="仿宋_GB2312" w:cs="Times New Roman"/>
          <w:sz w:val="32"/>
          <w:szCs w:val="32"/>
        </w:rPr>
      </w:pPr>
      <w:r>
        <w:rPr>
          <w:rFonts w:ascii="仿宋_GB2312" w:hAnsi="Times New Roman" w:eastAsia="仿宋_GB2312" w:cs="Times New Roman"/>
          <w:sz w:val="32"/>
          <w:szCs w:val="32"/>
        </w:rPr>
        <w:t>绩效指标：“档案扫描数量≥12万页”、“数字化扫描电子目录≥1万条”、“数字化扫描完成合格率≥95%”、“数字化扫描完成及时率≥95%”</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3、</w:t>
      </w:r>
      <w:r>
        <w:rPr>
          <w:rFonts w:ascii="仿宋_GB2312" w:hAnsi="Times New Roman" w:eastAsia="仿宋_GB2312" w:cs="Times New Roman"/>
          <w:sz w:val="32"/>
          <w:szCs w:val="32"/>
        </w:rPr>
        <w:t>档案资料保护工作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Times New Roman" w:eastAsia="仿宋_GB2312" w:cs="Times New Roman"/>
          <w:sz w:val="32"/>
          <w:szCs w:val="32"/>
        </w:rPr>
      </w:pPr>
      <w:r>
        <w:rPr>
          <w:rFonts w:ascii="仿宋_GB2312" w:hAnsi="Times New Roman" w:eastAsia="仿宋_GB2312" w:cs="Times New Roman"/>
          <w:sz w:val="32"/>
          <w:szCs w:val="32"/>
        </w:rPr>
        <w:t>绩效目标：防范档案安全事故，提高档案服务民生水平。</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Times New Roman" w:eastAsia="仿宋_GB2312" w:cs="Times New Roman"/>
          <w:sz w:val="32"/>
          <w:szCs w:val="32"/>
        </w:rPr>
      </w:pPr>
      <w:r>
        <w:rPr>
          <w:rFonts w:ascii="仿宋_GB2312" w:hAnsi="Times New Roman" w:eastAsia="仿宋_GB2312" w:cs="Times New Roman"/>
          <w:sz w:val="32"/>
          <w:szCs w:val="32"/>
        </w:rPr>
        <w:t>绩效指标：“是否提高档案的利用率”、“是否提高馆藏量”</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（三）工作保障</w:t>
      </w:r>
      <w:r>
        <w:rPr>
          <w:rFonts w:ascii="仿宋_GB2312" w:hAnsi="Times New Roman" w:eastAsia="仿宋_GB2312" w:cs="Times New Roman"/>
          <w:sz w:val="32"/>
          <w:szCs w:val="32"/>
        </w:rPr>
        <w:t>措施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ascii="仿宋_GB2312" w:hAnsi="Times New Roman" w:eastAsia="仿宋_GB2312" w:cs="Times New Roman"/>
          <w:sz w:val="32"/>
          <w:szCs w:val="32"/>
        </w:rPr>
        <w:t>完善制度建设。制定完善预算绩效管理制度、资金管理办法、工作保障制度等，为全年预算绩效目标的实现奠定制度基础。</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ascii="仿宋_GB2312" w:hAnsi="Times New Roman" w:eastAsia="仿宋_GB2312" w:cs="Times New Roman"/>
          <w:sz w:val="32"/>
          <w:szCs w:val="32"/>
        </w:rPr>
        <w:t>加强支出管理。通过优化支出结构、编细编实预算、及时支付资金、确保支出进度达标。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3、</w:t>
      </w:r>
      <w:r>
        <w:rPr>
          <w:rFonts w:ascii="仿宋_GB2312" w:hAnsi="Times New Roman" w:eastAsia="仿宋_GB2312" w:cs="Times New Roman"/>
          <w:sz w:val="32"/>
          <w:szCs w:val="32"/>
        </w:rPr>
        <w:t>加强绩效运行监控。按要求开展绩效运行监控，发现问题及时采取措施，确保绩效目标如期保质实现。</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4、</w:t>
      </w:r>
      <w:r>
        <w:rPr>
          <w:rFonts w:ascii="仿宋_GB2312" w:hAnsi="Times New Roman" w:eastAsia="仿宋_GB2312" w:cs="Times New Roman"/>
          <w:sz w:val="32"/>
          <w:szCs w:val="32"/>
        </w:rPr>
        <w:t>做好绩效自评。按要求开展上年度部门预算绩效自评和重点评价工作，对评价中发现的问题及时整改，调整优化支出结构，提高财政资金使用效益。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5、</w:t>
      </w:r>
      <w:r>
        <w:rPr>
          <w:rFonts w:ascii="仿宋_GB2312" w:hAnsi="Times New Roman" w:eastAsia="仿宋_GB2312" w:cs="Times New Roman"/>
          <w:sz w:val="32"/>
          <w:szCs w:val="32"/>
        </w:rPr>
        <w:t>规范财务资产管理。完善财务管理制度，严格审批程序，加强固定资产登记、使用和报废处置管理，做到支出合理，物尽其用。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6、</w:t>
      </w:r>
      <w:r>
        <w:rPr>
          <w:rFonts w:ascii="仿宋_GB2312" w:hAnsi="Times New Roman" w:eastAsia="仿宋_GB2312" w:cs="Times New Roman"/>
          <w:sz w:val="32"/>
          <w:szCs w:val="32"/>
        </w:rPr>
        <w:t>加强内部监督。加强内部监督制度建设，对绩效运行情况、重大支出决策、资产处置及其他重要经济业务事项的决策和执行进行督导，对会计资料进行内部审计，并配合做好审计、财政监督等外部监督工作，确保财政资金安全有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7、</w:t>
      </w:r>
      <w:r>
        <w:rPr>
          <w:rFonts w:ascii="仿宋_GB2312" w:hAnsi="Times New Roman" w:eastAsia="仿宋_GB2312" w:cs="Times New Roman"/>
          <w:sz w:val="32"/>
          <w:szCs w:val="32"/>
        </w:rPr>
        <w:t>加强宣传培训调研等。加强人员培训，提高本部门职工业务素质；加强调研，提出优化财政资金配置、提高资金使用效益的意见；加大宣传力度，强化预算绩效管理意识，促进预算绩效管理水平进一步提升。</w:t>
      </w:r>
    </w:p>
    <w:p>
      <w:pPr>
        <w:numPr>
          <w:ilvl w:val="0"/>
          <w:numId w:val="1"/>
        </w:numPr>
        <w:ind w:firstLine="640" w:firstLineChars="20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部门整体支出绩效指标</w:t>
      </w:r>
    </w:p>
    <w:tbl>
      <w:tblPr>
        <w:tblStyle w:val="7"/>
        <w:tblW w:w="127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940"/>
        <w:gridCol w:w="1134"/>
        <w:gridCol w:w="1701"/>
        <w:gridCol w:w="1559"/>
        <w:gridCol w:w="3402"/>
        <w:gridCol w:w="567"/>
        <w:gridCol w:w="850"/>
        <w:gridCol w:w="851"/>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94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13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70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55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340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268"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71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940" w:type="dxa"/>
            <w:vMerge w:val="continue"/>
            <w:tcBorders>
              <w:tl2br w:val="nil"/>
              <w:tr2bl w:val="nil"/>
            </w:tcBorders>
            <w:vAlign w:val="center"/>
          </w:tcPr>
          <w:p/>
        </w:tc>
        <w:tc>
          <w:tcPr>
            <w:tcW w:w="1134" w:type="dxa"/>
            <w:vMerge w:val="continue"/>
            <w:tcBorders>
              <w:tl2br w:val="nil"/>
              <w:tr2bl w:val="nil"/>
            </w:tcBorders>
            <w:vAlign w:val="center"/>
          </w:tcPr>
          <w:p/>
        </w:tc>
        <w:tc>
          <w:tcPr>
            <w:tcW w:w="1701" w:type="dxa"/>
            <w:vMerge w:val="continue"/>
            <w:tcBorders>
              <w:tl2br w:val="nil"/>
              <w:tr2bl w:val="nil"/>
            </w:tcBorders>
            <w:vAlign w:val="center"/>
          </w:tcPr>
          <w:p/>
        </w:tc>
        <w:tc>
          <w:tcPr>
            <w:tcW w:w="1559" w:type="dxa"/>
            <w:vMerge w:val="continue"/>
            <w:tcBorders>
              <w:tl2br w:val="nil"/>
              <w:tr2bl w:val="nil"/>
            </w:tcBorders>
            <w:vAlign w:val="center"/>
          </w:tcPr>
          <w:p/>
        </w:tc>
        <w:tc>
          <w:tcPr>
            <w:tcW w:w="3402" w:type="dxa"/>
            <w:vMerge w:val="continue"/>
            <w:tcBorders>
              <w:tl2br w:val="nil"/>
              <w:tr2bl w:val="nil"/>
            </w:tcBorders>
            <w:vAlign w:val="center"/>
          </w:tcPr>
          <w:p/>
        </w:tc>
        <w:tc>
          <w:tcPr>
            <w:tcW w:w="56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85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851"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713"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940"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1134"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701" w:type="dxa"/>
            <w:tcBorders>
              <w:tl2br w:val="nil"/>
              <w:tr2bl w:val="nil"/>
            </w:tcBorders>
            <w:vAlign w:val="center"/>
          </w:tcPr>
          <w:p>
            <w:pPr>
              <w:rPr>
                <w:rFonts w:ascii="宋体" w:hAnsi="宋体" w:eastAsia="宋体" w:cs="宋体"/>
                <w:sz w:val="18"/>
                <w:szCs w:val="18"/>
              </w:rPr>
            </w:pPr>
            <w:r>
              <w:rPr>
                <w:rFonts w:hint="eastAsia"/>
                <w:sz w:val="18"/>
                <w:szCs w:val="18"/>
              </w:rPr>
              <w:t>档案扫描的数量</w:t>
            </w:r>
          </w:p>
        </w:tc>
        <w:tc>
          <w:tcPr>
            <w:tcW w:w="1559" w:type="dxa"/>
            <w:tcBorders>
              <w:tl2br w:val="nil"/>
              <w:tr2bl w:val="nil"/>
            </w:tcBorders>
          </w:tcPr>
          <w:p>
            <w:pPr>
              <w:rPr>
                <w:rFonts w:ascii="宋体" w:hAnsi="宋体" w:eastAsia="宋体" w:cs="宋体"/>
                <w:sz w:val="18"/>
                <w:szCs w:val="18"/>
              </w:rPr>
            </w:pPr>
            <w:r>
              <w:rPr>
                <w:rFonts w:hint="eastAsia"/>
                <w:sz w:val="18"/>
                <w:szCs w:val="18"/>
              </w:rPr>
              <w:t>扫描完成12万页</w:t>
            </w:r>
          </w:p>
        </w:tc>
        <w:tc>
          <w:tcPr>
            <w:tcW w:w="3402" w:type="dxa"/>
            <w:tcBorders>
              <w:tl2br w:val="nil"/>
              <w:tr2bl w:val="nil"/>
            </w:tcBorders>
            <w:vAlign w:val="center"/>
          </w:tcPr>
          <w:p>
            <w:pPr>
              <w:rPr>
                <w:rFonts w:ascii="宋体" w:hAnsi="宋体" w:eastAsia="宋体" w:cs="宋体"/>
                <w:sz w:val="18"/>
                <w:szCs w:val="18"/>
              </w:rPr>
            </w:pPr>
            <w:r>
              <w:rPr>
                <w:rFonts w:hint="eastAsia"/>
                <w:sz w:val="18"/>
                <w:szCs w:val="18"/>
              </w:rPr>
              <w:t>扫描档案12万页</w:t>
            </w:r>
          </w:p>
        </w:tc>
        <w:tc>
          <w:tcPr>
            <w:tcW w:w="567" w:type="dxa"/>
            <w:tcBorders>
              <w:tl2br w:val="nil"/>
              <w:tr2bl w:val="nil"/>
            </w:tcBorders>
            <w:vAlign w:val="center"/>
          </w:tcPr>
          <w:p>
            <w:pPr>
              <w:jc w:val="center"/>
              <w:rPr>
                <w:rFonts w:ascii="宋体" w:hAnsi="宋体" w:eastAsia="宋体" w:cs="宋体"/>
                <w:sz w:val="18"/>
                <w:szCs w:val="18"/>
              </w:rPr>
            </w:pPr>
            <w:r>
              <w:rPr>
                <w:rFonts w:hint="eastAsia"/>
                <w:sz w:val="18"/>
                <w:szCs w:val="18"/>
              </w:rPr>
              <w:t>≥</w:t>
            </w:r>
          </w:p>
        </w:tc>
        <w:tc>
          <w:tcPr>
            <w:tcW w:w="850" w:type="dxa"/>
            <w:tcBorders>
              <w:tl2br w:val="nil"/>
              <w:tr2bl w:val="nil"/>
            </w:tcBorders>
            <w:vAlign w:val="center"/>
          </w:tcPr>
          <w:p>
            <w:pPr>
              <w:jc w:val="right"/>
              <w:rPr>
                <w:rFonts w:ascii="宋体" w:hAnsi="宋体" w:eastAsia="宋体" w:cs="宋体"/>
                <w:sz w:val="18"/>
                <w:szCs w:val="18"/>
              </w:rPr>
            </w:pPr>
            <w:r>
              <w:rPr>
                <w:rFonts w:hint="eastAsia"/>
                <w:sz w:val="18"/>
                <w:szCs w:val="18"/>
              </w:rPr>
              <w:t>120000.00</w:t>
            </w:r>
          </w:p>
        </w:tc>
        <w:tc>
          <w:tcPr>
            <w:tcW w:w="851"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页</w:t>
            </w:r>
          </w:p>
        </w:tc>
        <w:tc>
          <w:tcPr>
            <w:tcW w:w="1713" w:type="dxa"/>
            <w:tcBorders>
              <w:tl2br w:val="nil"/>
              <w:tr2bl w:val="nil"/>
            </w:tcBorders>
            <w:vAlign w:val="center"/>
          </w:tcPr>
          <w:p>
            <w:pPr>
              <w:rPr>
                <w:rFonts w:ascii="宋体" w:hAnsi="宋体" w:eastAsia="宋体" w:cs="宋体"/>
                <w:sz w:val="18"/>
                <w:szCs w:val="18"/>
              </w:rPr>
            </w:pPr>
            <w:r>
              <w:rPr>
                <w:rFonts w:hint="eastAsia"/>
                <w:sz w:val="18"/>
                <w:szCs w:val="18"/>
              </w:rPr>
              <w:t>本部门年度工作计划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40" w:type="dxa"/>
            <w:vMerge w:val="continue"/>
            <w:tcBorders>
              <w:tl2br w:val="nil"/>
              <w:tr2bl w:val="nil"/>
            </w:tcBorders>
            <w:vAlign w:val="center"/>
          </w:tcPr>
          <w:p/>
        </w:tc>
        <w:tc>
          <w:tcPr>
            <w:tcW w:w="1134"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701" w:type="dxa"/>
            <w:tcBorders>
              <w:tl2br w:val="nil"/>
              <w:tr2bl w:val="nil"/>
            </w:tcBorders>
            <w:vAlign w:val="center"/>
          </w:tcPr>
          <w:p>
            <w:pPr>
              <w:rPr>
                <w:rFonts w:ascii="宋体" w:hAnsi="宋体" w:eastAsia="宋体" w:cs="宋体"/>
                <w:sz w:val="18"/>
                <w:szCs w:val="18"/>
              </w:rPr>
            </w:pPr>
            <w:r>
              <w:rPr>
                <w:rFonts w:hint="eastAsia"/>
                <w:sz w:val="18"/>
                <w:szCs w:val="18"/>
              </w:rPr>
              <w:t>档案整理、移交工作完成率</w:t>
            </w:r>
          </w:p>
        </w:tc>
        <w:tc>
          <w:tcPr>
            <w:tcW w:w="1559" w:type="dxa"/>
            <w:tcBorders>
              <w:tl2br w:val="nil"/>
              <w:tr2bl w:val="nil"/>
            </w:tcBorders>
          </w:tcPr>
          <w:p>
            <w:pPr>
              <w:rPr>
                <w:rFonts w:ascii="宋体" w:hAnsi="宋体" w:eastAsia="宋体" w:cs="宋体"/>
                <w:sz w:val="18"/>
                <w:szCs w:val="18"/>
              </w:rPr>
            </w:pPr>
            <w:r>
              <w:rPr>
                <w:rFonts w:hint="eastAsia"/>
                <w:sz w:val="18"/>
                <w:szCs w:val="18"/>
              </w:rPr>
              <w:t>完成率大于等于90%</w:t>
            </w:r>
          </w:p>
        </w:tc>
        <w:tc>
          <w:tcPr>
            <w:tcW w:w="3402" w:type="dxa"/>
            <w:tcBorders>
              <w:tl2br w:val="nil"/>
              <w:tr2bl w:val="nil"/>
            </w:tcBorders>
            <w:vAlign w:val="center"/>
          </w:tcPr>
          <w:p>
            <w:pPr>
              <w:rPr>
                <w:rFonts w:ascii="宋体" w:hAnsi="宋体" w:eastAsia="宋体" w:cs="宋体"/>
                <w:sz w:val="18"/>
                <w:szCs w:val="18"/>
              </w:rPr>
            </w:pPr>
            <w:r>
              <w:rPr>
                <w:rFonts w:hint="eastAsia"/>
                <w:sz w:val="18"/>
                <w:szCs w:val="18"/>
              </w:rPr>
              <w:t>年度内已完成的档案整理、移交、接收、管理、保存工作量占计划量的的比例</w:t>
            </w:r>
          </w:p>
        </w:tc>
        <w:tc>
          <w:tcPr>
            <w:tcW w:w="567" w:type="dxa"/>
            <w:tcBorders>
              <w:tl2br w:val="nil"/>
              <w:tr2bl w:val="nil"/>
            </w:tcBorders>
            <w:vAlign w:val="center"/>
          </w:tcPr>
          <w:p>
            <w:pPr>
              <w:jc w:val="center"/>
              <w:rPr>
                <w:rFonts w:ascii="宋体" w:hAnsi="宋体" w:eastAsia="宋体" w:cs="宋体"/>
                <w:sz w:val="18"/>
                <w:szCs w:val="18"/>
              </w:rPr>
            </w:pPr>
            <w:r>
              <w:rPr>
                <w:rFonts w:hint="eastAsia"/>
                <w:sz w:val="18"/>
                <w:szCs w:val="18"/>
              </w:rPr>
              <w:t>≥</w:t>
            </w:r>
          </w:p>
        </w:tc>
        <w:tc>
          <w:tcPr>
            <w:tcW w:w="850" w:type="dxa"/>
            <w:tcBorders>
              <w:tl2br w:val="nil"/>
              <w:tr2bl w:val="nil"/>
            </w:tcBorders>
            <w:vAlign w:val="center"/>
          </w:tcPr>
          <w:p>
            <w:pPr>
              <w:jc w:val="center"/>
              <w:rPr>
                <w:rFonts w:ascii="宋体" w:hAnsi="宋体" w:eastAsia="宋体" w:cs="宋体"/>
                <w:sz w:val="18"/>
                <w:szCs w:val="18"/>
              </w:rPr>
            </w:pPr>
            <w:r>
              <w:rPr>
                <w:rFonts w:hint="eastAsia"/>
                <w:sz w:val="18"/>
                <w:szCs w:val="18"/>
              </w:rPr>
              <w:t>90.00</w:t>
            </w:r>
          </w:p>
        </w:tc>
        <w:tc>
          <w:tcPr>
            <w:tcW w:w="851" w:type="dxa"/>
            <w:tcBorders>
              <w:tl2br w:val="nil"/>
              <w:tr2bl w:val="nil"/>
            </w:tcBorders>
            <w:vAlign w:val="center"/>
          </w:tcPr>
          <w:p>
            <w:pPr>
              <w:rPr>
                <w:rFonts w:ascii="宋体" w:hAnsi="宋体" w:eastAsia="宋体" w:cs="宋体"/>
                <w:sz w:val="18"/>
                <w:szCs w:val="18"/>
              </w:rPr>
            </w:pPr>
            <w:r>
              <w:rPr>
                <w:rFonts w:hint="eastAsia"/>
                <w:sz w:val="18"/>
                <w:szCs w:val="18"/>
              </w:rPr>
              <w:t>百分比</w:t>
            </w:r>
          </w:p>
        </w:tc>
        <w:tc>
          <w:tcPr>
            <w:tcW w:w="1713" w:type="dxa"/>
            <w:tcBorders>
              <w:tl2br w:val="nil"/>
              <w:tr2bl w:val="nil"/>
            </w:tcBorders>
            <w:vAlign w:val="center"/>
          </w:tcPr>
          <w:p>
            <w:pPr>
              <w:rPr>
                <w:rFonts w:ascii="宋体" w:hAnsi="宋体" w:eastAsia="宋体" w:cs="宋体"/>
                <w:sz w:val="18"/>
                <w:szCs w:val="18"/>
              </w:rPr>
            </w:pPr>
            <w:r>
              <w:rPr>
                <w:rFonts w:hint="eastAsia"/>
                <w:sz w:val="18"/>
                <w:szCs w:val="18"/>
              </w:rPr>
              <w:t>本部门年度工作计划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940" w:type="dxa"/>
            <w:vMerge w:val="continue"/>
            <w:tcBorders>
              <w:tl2br w:val="nil"/>
              <w:tr2bl w:val="nil"/>
            </w:tcBorders>
            <w:vAlign w:val="center"/>
          </w:tcPr>
          <w:p/>
        </w:tc>
        <w:tc>
          <w:tcPr>
            <w:tcW w:w="113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质量</w:t>
            </w:r>
          </w:p>
        </w:tc>
        <w:tc>
          <w:tcPr>
            <w:tcW w:w="1701" w:type="dxa"/>
            <w:tcBorders>
              <w:tl2br w:val="nil"/>
              <w:tr2bl w:val="nil"/>
            </w:tcBorders>
            <w:vAlign w:val="center"/>
          </w:tcPr>
          <w:p>
            <w:pPr>
              <w:rPr>
                <w:rFonts w:ascii="宋体" w:hAnsi="宋体" w:eastAsia="宋体" w:cs="宋体"/>
                <w:sz w:val="18"/>
                <w:szCs w:val="18"/>
              </w:rPr>
            </w:pPr>
            <w:r>
              <w:rPr>
                <w:rFonts w:hint="eastAsia"/>
                <w:sz w:val="18"/>
                <w:szCs w:val="18"/>
              </w:rPr>
              <w:t>档案设施设备完好率</w:t>
            </w:r>
          </w:p>
        </w:tc>
        <w:tc>
          <w:tcPr>
            <w:tcW w:w="1559" w:type="dxa"/>
            <w:tcBorders>
              <w:tl2br w:val="nil"/>
              <w:tr2bl w:val="nil"/>
            </w:tcBorders>
          </w:tcPr>
          <w:p>
            <w:pPr>
              <w:rPr>
                <w:rFonts w:ascii="宋体" w:hAnsi="宋体" w:eastAsia="宋体" w:cs="宋体"/>
                <w:sz w:val="18"/>
                <w:szCs w:val="18"/>
              </w:rPr>
            </w:pPr>
            <w:r>
              <w:rPr>
                <w:rFonts w:hint="eastAsia"/>
                <w:sz w:val="18"/>
                <w:szCs w:val="18"/>
              </w:rPr>
              <w:t>完好率大于等于90%</w:t>
            </w:r>
          </w:p>
        </w:tc>
        <w:tc>
          <w:tcPr>
            <w:tcW w:w="3402" w:type="dxa"/>
            <w:tcBorders>
              <w:tl2br w:val="nil"/>
              <w:tr2bl w:val="nil"/>
            </w:tcBorders>
            <w:vAlign w:val="center"/>
          </w:tcPr>
          <w:p>
            <w:pPr>
              <w:rPr>
                <w:rFonts w:ascii="宋体" w:hAnsi="宋体" w:eastAsia="宋体" w:cs="宋体"/>
                <w:sz w:val="18"/>
                <w:szCs w:val="18"/>
              </w:rPr>
            </w:pPr>
            <w:r>
              <w:rPr>
                <w:rFonts w:hint="eastAsia"/>
                <w:sz w:val="18"/>
                <w:szCs w:val="18"/>
              </w:rPr>
              <w:t>反应档案设施设备能正常运行的数量占档案设施设备总量的比例</w:t>
            </w:r>
          </w:p>
        </w:tc>
        <w:tc>
          <w:tcPr>
            <w:tcW w:w="567" w:type="dxa"/>
            <w:tcBorders>
              <w:tl2br w:val="nil"/>
              <w:tr2bl w:val="nil"/>
            </w:tcBorders>
            <w:vAlign w:val="center"/>
          </w:tcPr>
          <w:p>
            <w:pPr>
              <w:jc w:val="center"/>
              <w:rPr>
                <w:rFonts w:ascii="宋体" w:hAnsi="宋体" w:eastAsia="宋体" w:cs="宋体"/>
                <w:sz w:val="18"/>
                <w:szCs w:val="18"/>
              </w:rPr>
            </w:pPr>
            <w:r>
              <w:rPr>
                <w:rFonts w:hint="eastAsia"/>
                <w:sz w:val="18"/>
                <w:szCs w:val="18"/>
              </w:rPr>
              <w:t>≥</w:t>
            </w:r>
          </w:p>
        </w:tc>
        <w:tc>
          <w:tcPr>
            <w:tcW w:w="850" w:type="dxa"/>
            <w:tcBorders>
              <w:tl2br w:val="nil"/>
              <w:tr2bl w:val="nil"/>
            </w:tcBorders>
            <w:vAlign w:val="center"/>
          </w:tcPr>
          <w:p>
            <w:pPr>
              <w:jc w:val="center"/>
              <w:rPr>
                <w:rFonts w:ascii="宋体" w:hAnsi="宋体" w:eastAsia="宋体" w:cs="宋体"/>
                <w:sz w:val="18"/>
                <w:szCs w:val="18"/>
              </w:rPr>
            </w:pPr>
            <w:r>
              <w:rPr>
                <w:rFonts w:hint="eastAsia"/>
                <w:sz w:val="18"/>
                <w:szCs w:val="18"/>
              </w:rPr>
              <w:t>90.00</w:t>
            </w:r>
          </w:p>
        </w:tc>
        <w:tc>
          <w:tcPr>
            <w:tcW w:w="851" w:type="dxa"/>
            <w:tcBorders>
              <w:tl2br w:val="nil"/>
              <w:tr2bl w:val="nil"/>
            </w:tcBorders>
            <w:vAlign w:val="center"/>
          </w:tcPr>
          <w:p>
            <w:pPr>
              <w:rPr>
                <w:rFonts w:ascii="宋体" w:hAnsi="宋体" w:eastAsia="宋体" w:cs="宋体"/>
                <w:sz w:val="18"/>
                <w:szCs w:val="18"/>
              </w:rPr>
            </w:pPr>
            <w:r>
              <w:rPr>
                <w:rFonts w:hint="eastAsia"/>
                <w:sz w:val="18"/>
                <w:szCs w:val="18"/>
              </w:rPr>
              <w:t>百分比</w:t>
            </w:r>
          </w:p>
        </w:tc>
        <w:tc>
          <w:tcPr>
            <w:tcW w:w="1713" w:type="dxa"/>
            <w:tcBorders>
              <w:tl2br w:val="nil"/>
              <w:tr2bl w:val="nil"/>
            </w:tcBorders>
            <w:vAlign w:val="center"/>
          </w:tcPr>
          <w:p>
            <w:pPr>
              <w:rPr>
                <w:rFonts w:ascii="宋体" w:hAnsi="宋体" w:eastAsia="宋体" w:cs="宋体"/>
                <w:sz w:val="18"/>
                <w:szCs w:val="18"/>
              </w:rPr>
            </w:pPr>
            <w:r>
              <w:rPr>
                <w:rFonts w:hint="eastAsia"/>
                <w:sz w:val="18"/>
                <w:szCs w:val="18"/>
              </w:rPr>
              <w:t>本部门年度工作计划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40"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134"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效益</w:t>
            </w:r>
          </w:p>
        </w:tc>
        <w:tc>
          <w:tcPr>
            <w:tcW w:w="1701" w:type="dxa"/>
            <w:tcBorders>
              <w:tl2br w:val="nil"/>
              <w:tr2bl w:val="nil"/>
            </w:tcBorders>
            <w:vAlign w:val="center"/>
          </w:tcPr>
          <w:p>
            <w:pPr>
              <w:rPr>
                <w:rFonts w:ascii="宋体" w:hAnsi="宋体" w:eastAsia="宋体" w:cs="宋体"/>
                <w:sz w:val="18"/>
                <w:szCs w:val="18"/>
              </w:rPr>
            </w:pPr>
            <w:r>
              <w:rPr>
                <w:rFonts w:hint="eastAsia"/>
                <w:sz w:val="18"/>
                <w:szCs w:val="18"/>
              </w:rPr>
              <w:t>是否提高馆藏量</w:t>
            </w:r>
          </w:p>
          <w:p>
            <w:pPr>
              <w:rPr>
                <w:rFonts w:ascii="宋体" w:hAnsi="宋体" w:eastAsia="宋体" w:cs="宋体"/>
                <w:sz w:val="18"/>
                <w:szCs w:val="18"/>
              </w:rPr>
            </w:pPr>
          </w:p>
        </w:tc>
        <w:tc>
          <w:tcPr>
            <w:tcW w:w="1559" w:type="dxa"/>
            <w:tcBorders>
              <w:tl2br w:val="nil"/>
              <w:tr2bl w:val="nil"/>
            </w:tcBorders>
          </w:tcPr>
          <w:p>
            <w:pPr>
              <w:rPr>
                <w:rFonts w:ascii="宋体" w:hAnsi="宋体" w:eastAsia="宋体" w:cs="宋体"/>
                <w:sz w:val="18"/>
                <w:szCs w:val="18"/>
              </w:rPr>
            </w:pPr>
            <w:r>
              <w:rPr>
                <w:rFonts w:hint="eastAsia"/>
                <w:sz w:val="18"/>
                <w:szCs w:val="18"/>
              </w:rPr>
              <w:t>是否提高</w:t>
            </w:r>
          </w:p>
        </w:tc>
        <w:tc>
          <w:tcPr>
            <w:tcW w:w="3402" w:type="dxa"/>
            <w:tcBorders>
              <w:tl2br w:val="nil"/>
              <w:tr2bl w:val="nil"/>
            </w:tcBorders>
            <w:vAlign w:val="center"/>
          </w:tcPr>
          <w:p>
            <w:pPr>
              <w:rPr>
                <w:rFonts w:ascii="宋体" w:hAnsi="宋体" w:eastAsia="宋体" w:cs="宋体"/>
                <w:sz w:val="18"/>
                <w:szCs w:val="18"/>
              </w:rPr>
            </w:pPr>
            <w:r>
              <w:rPr>
                <w:rFonts w:hint="eastAsia"/>
                <w:sz w:val="18"/>
                <w:szCs w:val="18"/>
              </w:rPr>
              <w:t>是否提高馆藏量</w:t>
            </w:r>
          </w:p>
        </w:tc>
        <w:tc>
          <w:tcPr>
            <w:tcW w:w="5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85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851" w:type="dxa"/>
            <w:tcBorders>
              <w:tl2br w:val="nil"/>
              <w:tr2bl w:val="nil"/>
            </w:tcBorders>
            <w:vAlign w:val="center"/>
          </w:tcPr>
          <w:p>
            <w:pPr>
              <w:rPr>
                <w:rFonts w:ascii="宋体" w:hAnsi="宋体" w:eastAsia="宋体" w:cs="宋体"/>
                <w:sz w:val="18"/>
                <w:szCs w:val="18"/>
              </w:rPr>
            </w:pPr>
            <w:r>
              <w:rPr>
                <w:rFonts w:hint="eastAsia"/>
                <w:sz w:val="18"/>
                <w:szCs w:val="18"/>
              </w:rPr>
              <w:t>是否提高</w:t>
            </w:r>
          </w:p>
        </w:tc>
        <w:tc>
          <w:tcPr>
            <w:tcW w:w="1713" w:type="dxa"/>
            <w:tcBorders>
              <w:tl2br w:val="nil"/>
              <w:tr2bl w:val="nil"/>
            </w:tcBorders>
            <w:vAlign w:val="center"/>
          </w:tcPr>
          <w:p>
            <w:pPr>
              <w:rPr>
                <w:rFonts w:ascii="宋体" w:hAnsi="宋体" w:eastAsia="宋体" w:cs="宋体"/>
                <w:sz w:val="18"/>
                <w:szCs w:val="18"/>
              </w:rPr>
            </w:pPr>
            <w:r>
              <w:rPr>
                <w:rFonts w:hint="eastAsia"/>
                <w:sz w:val="18"/>
                <w:szCs w:val="18"/>
              </w:rPr>
              <w:t>本部门年度工作计划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40" w:type="dxa"/>
            <w:vMerge w:val="continue"/>
            <w:tcBorders>
              <w:tl2br w:val="nil"/>
              <w:tr2bl w:val="nil"/>
            </w:tcBorders>
            <w:vAlign w:val="center"/>
          </w:tcPr>
          <w:p/>
        </w:tc>
        <w:tc>
          <w:tcPr>
            <w:tcW w:w="113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社会效益</w:t>
            </w:r>
          </w:p>
        </w:tc>
        <w:tc>
          <w:tcPr>
            <w:tcW w:w="1701" w:type="dxa"/>
            <w:tcBorders>
              <w:tl2br w:val="nil"/>
              <w:tr2bl w:val="nil"/>
            </w:tcBorders>
            <w:vAlign w:val="center"/>
          </w:tcPr>
          <w:p>
            <w:pPr>
              <w:rPr>
                <w:rFonts w:ascii="宋体" w:hAnsi="宋体" w:eastAsia="宋体" w:cs="宋体"/>
                <w:sz w:val="18"/>
                <w:szCs w:val="18"/>
              </w:rPr>
            </w:pPr>
            <w:r>
              <w:rPr>
                <w:rFonts w:hint="eastAsia"/>
                <w:sz w:val="18"/>
                <w:szCs w:val="18"/>
              </w:rPr>
              <w:t>是否提高档案的利用率</w:t>
            </w:r>
          </w:p>
        </w:tc>
        <w:tc>
          <w:tcPr>
            <w:tcW w:w="1559" w:type="dxa"/>
            <w:tcBorders>
              <w:tl2br w:val="nil"/>
              <w:tr2bl w:val="nil"/>
            </w:tcBorders>
            <w:vAlign w:val="center"/>
          </w:tcPr>
          <w:p>
            <w:pPr>
              <w:rPr>
                <w:rFonts w:ascii="宋体" w:hAnsi="宋体" w:eastAsia="宋体" w:cs="宋体"/>
                <w:sz w:val="18"/>
                <w:szCs w:val="18"/>
              </w:rPr>
            </w:pPr>
            <w:r>
              <w:rPr>
                <w:rFonts w:hint="eastAsia"/>
                <w:sz w:val="18"/>
                <w:szCs w:val="18"/>
              </w:rPr>
              <w:t>是否完成</w:t>
            </w:r>
          </w:p>
          <w:p>
            <w:pPr>
              <w:rPr>
                <w:rFonts w:ascii="宋体" w:hAnsi="宋体" w:eastAsia="宋体" w:cs="宋体"/>
                <w:sz w:val="18"/>
                <w:szCs w:val="18"/>
              </w:rPr>
            </w:pPr>
          </w:p>
        </w:tc>
        <w:tc>
          <w:tcPr>
            <w:tcW w:w="3402" w:type="dxa"/>
            <w:tcBorders>
              <w:tl2br w:val="nil"/>
              <w:tr2bl w:val="nil"/>
            </w:tcBorders>
            <w:vAlign w:val="center"/>
          </w:tcPr>
          <w:p>
            <w:pPr>
              <w:rPr>
                <w:rFonts w:ascii="宋体" w:hAnsi="宋体" w:eastAsia="宋体" w:cs="宋体"/>
                <w:sz w:val="18"/>
                <w:szCs w:val="18"/>
              </w:rPr>
            </w:pPr>
            <w:r>
              <w:rPr>
                <w:rFonts w:hint="eastAsia"/>
                <w:sz w:val="18"/>
                <w:szCs w:val="18"/>
              </w:rPr>
              <w:t>是否提高档案的利用率</w:t>
            </w:r>
          </w:p>
        </w:tc>
        <w:tc>
          <w:tcPr>
            <w:tcW w:w="5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85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851" w:type="dxa"/>
            <w:tcBorders>
              <w:tl2br w:val="nil"/>
              <w:tr2bl w:val="nil"/>
            </w:tcBorders>
            <w:vAlign w:val="center"/>
          </w:tcPr>
          <w:p>
            <w:pPr>
              <w:rPr>
                <w:rFonts w:ascii="宋体" w:hAnsi="宋体" w:eastAsia="宋体" w:cs="宋体"/>
                <w:sz w:val="18"/>
                <w:szCs w:val="18"/>
              </w:rPr>
            </w:pPr>
            <w:r>
              <w:rPr>
                <w:rFonts w:hint="eastAsia"/>
                <w:sz w:val="18"/>
                <w:szCs w:val="18"/>
              </w:rPr>
              <w:t>是否完成</w:t>
            </w:r>
          </w:p>
        </w:tc>
        <w:tc>
          <w:tcPr>
            <w:tcW w:w="1713" w:type="dxa"/>
            <w:tcBorders>
              <w:tl2br w:val="nil"/>
              <w:tr2bl w:val="nil"/>
            </w:tcBorders>
            <w:vAlign w:val="center"/>
          </w:tcPr>
          <w:p>
            <w:pPr>
              <w:rPr>
                <w:rFonts w:ascii="宋体" w:hAnsi="宋体" w:eastAsia="宋体" w:cs="宋体"/>
                <w:sz w:val="18"/>
                <w:szCs w:val="18"/>
              </w:rPr>
            </w:pPr>
            <w:r>
              <w:rPr>
                <w:rFonts w:hint="eastAsia"/>
                <w:sz w:val="18"/>
                <w:szCs w:val="18"/>
              </w:rPr>
              <w:t>本部门年度工作计划</w:t>
            </w:r>
          </w:p>
        </w:tc>
      </w:tr>
      <w:bookmarkEnd w:id="1"/>
    </w:tbl>
    <w:p>
      <w:pPr>
        <w:rPr>
          <w:rFonts w:ascii="仿宋_GB2312" w:hAnsi="黑体" w:eastAsia="仿宋_GB2312" w:cs="Times New Roman"/>
          <w:color w:val="000000" w:themeColor="text1"/>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20</w:t>
      </w:r>
      <w:r>
        <w:rPr>
          <w:rFonts w:ascii="仿宋_GB2312" w:hAnsi="Times New Roman" w:eastAsia="仿宋_GB2312" w:cs="Times New Roman"/>
          <w:color w:val="000000" w:themeColor="text1"/>
          <w:sz w:val="32"/>
          <w:szCs w:val="32"/>
        </w:rPr>
        <w:t>2</w:t>
      </w:r>
      <w:r>
        <w:rPr>
          <w:rFonts w:hint="eastAsia" w:ascii="仿宋_GB2312" w:hAnsi="Times New Roman" w:eastAsia="仿宋_GB2312" w:cs="Times New Roman"/>
          <w:color w:val="000000" w:themeColor="text1"/>
          <w:sz w:val="32"/>
          <w:szCs w:val="32"/>
        </w:rPr>
        <w:t>1年，我部门无政府采购预算。</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仿宋_GB2312" w:hAnsi="Times New Roman" w:eastAsia="仿宋_GB2312" w:cs="Times New Roman"/>
          <w:sz w:val="32"/>
          <w:szCs w:val="32"/>
        </w:rPr>
      </w:pPr>
      <w:r>
        <w:rPr>
          <w:rFonts w:hint="eastAsia" w:ascii="仿宋_GB2312" w:hAnsi="黑体" w:eastAsia="仿宋_GB2312" w:cs="Times New Roman"/>
          <w:sz w:val="32"/>
          <w:szCs w:val="32"/>
        </w:rPr>
        <w:t>霸州市档案馆上年末固定资产金额为64.67万元（详见下表）。</w:t>
      </w:r>
      <w:r>
        <w:rPr>
          <w:rFonts w:ascii="仿宋_GB2312" w:hAnsi="黑体" w:eastAsia="仿宋_GB2312" w:cs="Times New Roman"/>
          <w:b/>
          <w:color w:val="FF0000"/>
          <w:sz w:val="32"/>
          <w:szCs w:val="32"/>
        </w:rPr>
        <w:t xml:space="preserve"> </w:t>
      </w:r>
      <w:r>
        <w:rPr>
          <w:rFonts w:ascii="仿宋_GB2312" w:hAnsi="黑体" w:eastAsia="仿宋_GB2312" w:cs="Times New Roman"/>
          <w:sz w:val="32"/>
          <w:szCs w:val="32"/>
        </w:rPr>
        <w:t>202</w:t>
      </w:r>
      <w:r>
        <w:rPr>
          <w:rFonts w:hint="eastAsia" w:ascii="仿宋_GB2312" w:hAnsi="黑体" w:eastAsia="仿宋_GB2312" w:cs="Times New Roman"/>
          <w:sz w:val="32"/>
          <w:szCs w:val="32"/>
        </w:rPr>
        <w:t>1年</w:t>
      </w:r>
      <w:r>
        <w:rPr>
          <w:rFonts w:ascii="仿宋_GB2312" w:hAnsi="黑体" w:eastAsia="仿宋_GB2312" w:cs="Times New Roman"/>
          <w:sz w:val="32"/>
          <w:szCs w:val="32"/>
        </w:rPr>
        <w:t>，我部门无新增固定资产计划</w:t>
      </w:r>
      <w:r>
        <w:rPr>
          <w:rFonts w:hint="eastAsia" w:ascii="仿宋_GB2312" w:hAnsi="黑体" w:eastAsia="仿宋_GB2312" w:cs="Times New Roman"/>
          <w:sz w:val="32"/>
          <w:szCs w:val="32"/>
        </w:rPr>
        <w:t>。</w:t>
      </w:r>
      <w:r>
        <w:rPr>
          <w:rFonts w:ascii="仿宋_GB2312" w:hAnsi="黑体" w:eastAsia="仿宋_GB2312" w:cs="Times New Roman"/>
          <w:sz w:val="32"/>
          <w:szCs w:val="32"/>
        </w:rPr>
        <w:t>”</w:t>
      </w: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霸州市档案馆固定资产占用情况表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编制部门：505霸州市档案馆</w:t>
            </w:r>
          </w:p>
        </w:tc>
        <w:tc>
          <w:tcPr>
            <w:tcW w:w="5103"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 xml:space="preserve">截止时间：2020年12月31日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64.67</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55.67</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方正书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4</w:t>
        </w:r>
        <w:r>
          <w:rPr>
            <w:sz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B9288C"/>
    <w:multiLevelType w:val="singleLevel"/>
    <w:tmpl w:val="4EB9288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ljZGNlYjRhYTM1YTMxMjQ5MDRkODQxZjA3YWIxMzIifQ=="/>
  </w:docVars>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0670"/>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1F7EDC"/>
    <w:rsid w:val="00204C18"/>
    <w:rsid w:val="00222A8D"/>
    <w:rsid w:val="00224AB9"/>
    <w:rsid w:val="00225DD0"/>
    <w:rsid w:val="00226AF2"/>
    <w:rsid w:val="00236A9E"/>
    <w:rsid w:val="00241FD4"/>
    <w:rsid w:val="00247E02"/>
    <w:rsid w:val="00250623"/>
    <w:rsid w:val="00251B12"/>
    <w:rsid w:val="002543BE"/>
    <w:rsid w:val="00255206"/>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403F"/>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6F71F2"/>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E4C97"/>
    <w:rsid w:val="009F225E"/>
    <w:rsid w:val="009F7DF9"/>
    <w:rsid w:val="009F7FFC"/>
    <w:rsid w:val="00A003B8"/>
    <w:rsid w:val="00A03100"/>
    <w:rsid w:val="00A1176E"/>
    <w:rsid w:val="00A22398"/>
    <w:rsid w:val="00A4039F"/>
    <w:rsid w:val="00A44217"/>
    <w:rsid w:val="00A4468A"/>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5105"/>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D0C21"/>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538"/>
    <w:rsid w:val="00F57F4F"/>
    <w:rsid w:val="00F617B7"/>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15934DDA"/>
    <w:rsid w:val="2054547A"/>
    <w:rsid w:val="25843B26"/>
    <w:rsid w:val="42946782"/>
    <w:rsid w:val="55E155BE"/>
    <w:rsid w:val="63502E38"/>
    <w:rsid w:val="7BBC01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customStyle="1" w:styleId="9">
    <w:name w:val="页眉 Char"/>
    <w:basedOn w:val="8"/>
    <w:link w:val="4"/>
    <w:qFormat/>
    <w:uiPriority w:val="0"/>
    <w:rPr>
      <w:rFonts w:ascii="Times New Roman" w:hAnsi="Times New Roman" w:eastAsia="宋体" w:cs="Times New Roman"/>
      <w:sz w:val="18"/>
      <w:szCs w:val="18"/>
    </w:rPr>
  </w:style>
  <w:style w:type="character" w:customStyle="1" w:styleId="10">
    <w:name w:val="页脚 Char"/>
    <w:basedOn w:val="8"/>
    <w:link w:val="3"/>
    <w:qFormat/>
    <w:uiPriority w:val="99"/>
    <w:rPr>
      <w:rFonts w:ascii="Times New Roman" w:hAnsi="Times New Roman" w:eastAsia="宋体" w:cs="Times New Roman"/>
      <w:sz w:val="18"/>
      <w:szCs w:val="18"/>
    </w:rPr>
  </w:style>
  <w:style w:type="character" w:customStyle="1" w:styleId="11">
    <w:name w:val="批注框文本 Char"/>
    <w:basedOn w:val="8"/>
    <w:link w:val="2"/>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Char"/>
    <w:basedOn w:val="1"/>
    <w:qFormat/>
    <w:uiPriority w:val="0"/>
    <w:rPr>
      <w:rFonts w:ascii="Tahoma" w:hAnsi="Tahoma" w:eastAsia="宋体"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20658-A7B1-44AF-B185-DF4F5B2A7B6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3378</Words>
  <Characters>3551</Characters>
  <Lines>26</Lines>
  <Paragraphs>7</Paragraphs>
  <TotalTime>79</TotalTime>
  <ScaleCrop>false</ScaleCrop>
  <LinksUpToDate>false</LinksUpToDate>
  <CharactersWithSpaces>3594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开心果</cp:lastModifiedBy>
  <cp:lastPrinted>2018-02-28T01:51:00Z</cp:lastPrinted>
  <dcterms:modified xsi:type="dcterms:W3CDTF">2022-09-07T02:55:07Z</dcterms:modified>
  <cp:revision>1412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AFA8BD8C29734DDF81C89F8A79B46B20</vt:lpwstr>
  </property>
</Properties>
</file>