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霸州市档案馆20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rPr>
        <w:t>1年部门预算信息公开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霸州市档案馆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（一）贯彻执行国家、河北省、廊坊市有关档案管理的法律、法规、规章。</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（二）集中统一管理市直机关各历史时期的档案资料，保守党和国家机密，维护档案完整，确保档案资料安全。</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（三）接收市委、市人大、市政府、市政协、市纪委监委及市直各机关、单位应进馆的档案资料。</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（四）征集散存在社会上对国家和社会有保存价值的珍贵档案资料。</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（五）负责馆藏档案资料的整理、编目、鉴定、统计和技术保护工作。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（六）依法开放档案，为党和政府及社会各方面提供利用服务。</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（七）承担政府公开信息的收集、管理和集中查阅工作。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（八）开发档案信息资源，开展档案史料编研出版、展览陈列和社会教育活动。</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（九）运用现代化技术手段，开展馆藏档案信息化建设。</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（十）完成市委交办的其他任务。</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霸州市档案馆</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事业单位</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财政性资金基本保证</w:t>
            </w:r>
          </w:p>
        </w:tc>
      </w:tr>
    </w:tbl>
    <w:p>
      <w:pPr>
        <w:spacing w:line="560" w:lineRule="exact"/>
        <w:rPr>
          <w:rFonts w:ascii="仿宋" w:hAnsi="仿宋" w:eastAsia="仿宋"/>
          <w:b/>
          <w:color w:val="FF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霸州市档案馆</w:t>
      </w:r>
      <w:r>
        <w:rPr>
          <w:rFonts w:ascii="Times New Roman" w:hAnsi="Times New Roman" w:eastAsia="仿宋_GB2312" w:cs="Times New Roman"/>
          <w:sz w:val="32"/>
          <w:szCs w:val="32"/>
        </w:rPr>
        <w:t>的收支包含在部门预算中。</w:t>
      </w:r>
      <w:r>
        <w:rPr>
          <w:rFonts w:hint="eastAsia" w:ascii="Times New Roman" w:hAnsi="Times New Roman" w:eastAsia="仿宋_GB2312" w:cs="Times New Roman"/>
          <w:sz w:val="32"/>
          <w:szCs w:val="32"/>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1年预算收入234.25万元，其中：一般公共预算收入234.25万元，政府性基金预算收入0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收支预算总表支出栏、基本支出表、项目支出表按经济分类和支出功能分类科目编制，反映霸州市档案馆20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1年度部门预算中支出预算的总体情况。20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1年本部门支出预算234.25万元，其中：基本支出234.25万元，包括：人员类项目经费197.02</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和运转类公用项目经费37.23</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；运转类其他及特定目标类项目支出0万元，全部为本级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主要为人员经费和公用经费；上缴上级支出0万元，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1年预算收支安排234.25万元，较2020预算</w:t>
      </w:r>
      <w:r>
        <w:rPr>
          <w:rFonts w:hint="eastAsia" w:ascii="仿宋_GB2312" w:hAnsi="Times New Roman" w:eastAsia="仿宋_GB2312" w:cs="Times New Roman"/>
          <w:sz w:val="32"/>
          <w:szCs w:val="32"/>
        </w:rPr>
        <w:t>增加</w:t>
      </w:r>
      <w:r>
        <w:rPr>
          <w:rFonts w:hint="eastAsia" w:ascii="仿宋_GB2312" w:hAnsi="Times New Roman" w:eastAsia="仿宋_GB2312" w:cs="Times New Roman"/>
          <w:color w:val="000000" w:themeColor="text1"/>
          <w:sz w:val="32"/>
          <w:szCs w:val="32"/>
        </w:rPr>
        <w:t>5.42万元，其中：基本支出增加5.42万元，主要为增加了人员经费和公用经费的支出；项目支出0万元，主要为无项目支出。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2021年，我部门运行经费共计安排37.23万元，主要用于办公区的日常维修、办公用房水电费、办公用房取暖费、办公及印刷费，邮电费、差旅费、福利费</w:t>
      </w:r>
      <w:bookmarkStart w:id="2" w:name="_GoBack"/>
      <w:bookmarkEnd w:id="2"/>
      <w:r>
        <w:rPr>
          <w:rFonts w:hint="eastAsia" w:ascii="仿宋_GB2312" w:hAnsi="Times New Roman" w:eastAsia="仿宋_GB2312" w:cs="Times New Roman"/>
          <w:sz w:val="32"/>
          <w:szCs w:val="32"/>
        </w:rPr>
        <w:t>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1年，我部门“三公”经费预算安排2.6万元，其中：因公出国（境）费0万元；公务用车购置及运维费2.5万元（其中：公务用车购置费0万元，公务用车运行维护费2.5万元)；公务接待费0.1万元，较2020年“三公”经费</w:t>
      </w:r>
      <w:r>
        <w:rPr>
          <w:rFonts w:hint="eastAsia" w:ascii="仿宋_GB2312" w:hAnsi="Times New Roman" w:eastAsia="仿宋_GB2312" w:cs="Times New Roman"/>
          <w:color w:val="000000" w:themeColor="text1"/>
          <w:sz w:val="32"/>
          <w:szCs w:val="32"/>
        </w:rPr>
        <w:t>增加2.41</w:t>
      </w:r>
      <w:r>
        <w:rPr>
          <w:rFonts w:hint="eastAsia" w:ascii="仿宋_GB2312" w:hAnsi="Times New Roman" w:eastAsia="仿宋_GB2312" w:cs="Times New Roman"/>
          <w:sz w:val="32"/>
          <w:szCs w:val="32"/>
        </w:rPr>
        <w:t>万元，主要是因为因公出国（境）费与2020年持平，无增减变化；公务用车购置费与2020年持平，无增减变化；公务用车运行维护费较2020年增加了2.5万元，增加原因为公车老化需要运行维护；公务接待费减少0.09万元，减少原因为压减开支。</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年霸州市档案馆总体发展规划目标是深入贯彻落实党的十九大和习近平新时代中国特色社会主义精神，以习近平总书记系列重要讲话精神为指导，坚定不移地把“为党管档、为国守史、为民服务”的职责落实到每一项具体的档案工作任务中，增强档案意识，实现档案文化价值，把档案馆库建设作为当前工作的重中之重，积极推进。强化国家档案资源建设，加快档案信息化建设，把建设数字档案馆（室）作为档案事业发展的重要任务，列入信息化建设整体规划。扎实做好档案安全与修复管理工作。对馆藏年代久远和国家重点档案采取裱糊、加固等方式进行修复整理，满足长期利用效果。</w:t>
      </w: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档案资料保管工作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绩效目标：及时接收保管档案，确保正常办公。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绩效指标：“档案整理完成率≥90%”、“档案接收率率≥90%”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档案资料数字化工作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绩效目标：完成档案数字化扫描，生成电子目录。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绩效指标：“档案扫描数量≥12万页”、“数字化扫描电子目录≥1万条”、“数字化扫描完成合格率≥95%”、“数字化扫描完成及时率≥95%”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档案资料保护工作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绩效目标：防范档案安全事故，提高档案服务民生水平。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ascii="仿宋_GB2312" w:hAnsi="Times New Roman" w:eastAsia="仿宋_GB2312" w:cs="Times New Roman"/>
          <w:sz w:val="32"/>
          <w:szCs w:val="32"/>
        </w:rPr>
        <w:t>绩效指标：“是否提高档案的利用率”、“是否提高馆藏量”</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完善制度建设。制定完善预算绩效管理制度、资金管理办法、工作保障制度等，为全年预算绩效目标的实现奠定制度基础。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加强支出管理。通过优化支出结构、编细编实预算、及时支付资金、确保支出进度达标。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加强绩效运行监控。按要求开展绩效运行监控，发现问题及时采取措施，确保绩效目标如期保质实现。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做好绩效自评。按要求开展上年度部门预算绩效自评和重点评价工作，对评价中发现的问题及时整改，调整优化支出结构，提高财政资金使用效益。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规范财务资产管理。完善财务管理制度，严格审批程序，加强固定资产登记、使用和报废处置管理，做到支出合理，物尽其用。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ascii="仿宋_GB2312" w:hAnsi="Times New Roman" w:eastAsia="仿宋_GB2312" w:cs="Times New Roman"/>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ascii="仿宋_GB2312" w:hAnsi="Times New Roman" w:eastAsia="仿宋_GB2312" w:cs="Times New Roman"/>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numPr>
          <w:ilvl w:val="0"/>
          <w:numId w:val="1"/>
        </w:num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部门整体支出绩效指标</w:t>
      </w:r>
    </w:p>
    <w:tbl>
      <w:tblPr>
        <w:tblStyle w:val="7"/>
        <w:tblW w:w="12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40"/>
        <w:gridCol w:w="1134"/>
        <w:gridCol w:w="1701"/>
        <w:gridCol w:w="1559"/>
        <w:gridCol w:w="3402"/>
        <w:gridCol w:w="567"/>
        <w:gridCol w:w="850"/>
        <w:gridCol w:w="85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94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7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40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71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940" w:type="dxa"/>
            <w:vMerge w:val="continue"/>
            <w:tcBorders>
              <w:tl2br w:val="nil"/>
              <w:tr2bl w:val="nil"/>
            </w:tcBorders>
            <w:vAlign w:val="center"/>
          </w:tcPr>
          <w:p/>
        </w:tc>
        <w:tc>
          <w:tcPr>
            <w:tcW w:w="1134" w:type="dxa"/>
            <w:vMerge w:val="continue"/>
            <w:tcBorders>
              <w:tl2br w:val="nil"/>
              <w:tr2bl w:val="nil"/>
            </w:tcBorders>
            <w:vAlign w:val="center"/>
          </w:tcPr>
          <w:p/>
        </w:tc>
        <w:tc>
          <w:tcPr>
            <w:tcW w:w="1701" w:type="dxa"/>
            <w:vMerge w:val="continue"/>
            <w:tcBorders>
              <w:tl2br w:val="nil"/>
              <w:tr2bl w:val="nil"/>
            </w:tcBorders>
            <w:vAlign w:val="center"/>
          </w:tcPr>
          <w:p/>
        </w:tc>
        <w:tc>
          <w:tcPr>
            <w:tcW w:w="1559" w:type="dxa"/>
            <w:vMerge w:val="continue"/>
            <w:tcBorders>
              <w:tl2br w:val="nil"/>
              <w:tr2bl w:val="nil"/>
            </w:tcBorders>
            <w:vAlign w:val="center"/>
          </w:tcPr>
          <w:p/>
        </w:tc>
        <w:tc>
          <w:tcPr>
            <w:tcW w:w="3402"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8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5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713"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94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701" w:type="dxa"/>
            <w:tcBorders>
              <w:tl2br w:val="nil"/>
              <w:tr2bl w:val="nil"/>
            </w:tcBorders>
            <w:vAlign w:val="center"/>
          </w:tcPr>
          <w:p>
            <w:pPr>
              <w:rPr>
                <w:rFonts w:ascii="宋体" w:hAnsi="宋体" w:eastAsia="宋体" w:cs="宋体"/>
                <w:sz w:val="18"/>
                <w:szCs w:val="18"/>
              </w:rPr>
            </w:pPr>
            <w:r>
              <w:rPr>
                <w:rFonts w:hint="eastAsia"/>
                <w:sz w:val="18"/>
                <w:szCs w:val="18"/>
              </w:rPr>
              <w:t>档案扫描的数量</w:t>
            </w:r>
          </w:p>
        </w:tc>
        <w:tc>
          <w:tcPr>
            <w:tcW w:w="1559" w:type="dxa"/>
            <w:tcBorders>
              <w:tl2br w:val="nil"/>
              <w:tr2bl w:val="nil"/>
            </w:tcBorders>
          </w:tcPr>
          <w:p>
            <w:pPr>
              <w:rPr>
                <w:rFonts w:ascii="宋体" w:hAnsi="宋体" w:eastAsia="宋体" w:cs="宋体"/>
                <w:sz w:val="18"/>
                <w:szCs w:val="18"/>
              </w:rPr>
            </w:pPr>
            <w:r>
              <w:rPr>
                <w:rFonts w:hint="eastAsia"/>
                <w:sz w:val="18"/>
                <w:szCs w:val="18"/>
              </w:rPr>
              <w:t>扫描完成12万页</w:t>
            </w:r>
          </w:p>
        </w:tc>
        <w:tc>
          <w:tcPr>
            <w:tcW w:w="3402" w:type="dxa"/>
            <w:tcBorders>
              <w:tl2br w:val="nil"/>
              <w:tr2bl w:val="nil"/>
            </w:tcBorders>
            <w:vAlign w:val="center"/>
          </w:tcPr>
          <w:p>
            <w:pPr>
              <w:rPr>
                <w:rFonts w:ascii="宋体" w:hAnsi="宋体" w:eastAsia="宋体" w:cs="宋体"/>
                <w:sz w:val="18"/>
                <w:szCs w:val="18"/>
              </w:rPr>
            </w:pPr>
            <w:r>
              <w:rPr>
                <w:rFonts w:hint="eastAsia"/>
                <w:sz w:val="18"/>
                <w:szCs w:val="18"/>
              </w:rPr>
              <w:t>扫描档案12万页</w:t>
            </w:r>
          </w:p>
        </w:tc>
        <w:tc>
          <w:tcPr>
            <w:tcW w:w="567" w:type="dxa"/>
            <w:tcBorders>
              <w:tl2br w:val="nil"/>
              <w:tr2bl w:val="nil"/>
            </w:tcBorders>
            <w:vAlign w:val="center"/>
          </w:tcPr>
          <w:p>
            <w:pPr>
              <w:jc w:val="center"/>
              <w:rPr>
                <w:rFonts w:ascii="宋体" w:hAnsi="宋体" w:eastAsia="宋体" w:cs="宋体"/>
                <w:sz w:val="18"/>
                <w:szCs w:val="18"/>
              </w:rPr>
            </w:pPr>
            <w:r>
              <w:rPr>
                <w:rFonts w:hint="eastAsia"/>
                <w:sz w:val="18"/>
                <w:szCs w:val="18"/>
              </w:rPr>
              <w:t>≥</w:t>
            </w:r>
          </w:p>
        </w:tc>
        <w:tc>
          <w:tcPr>
            <w:tcW w:w="850" w:type="dxa"/>
            <w:tcBorders>
              <w:tl2br w:val="nil"/>
              <w:tr2bl w:val="nil"/>
            </w:tcBorders>
            <w:vAlign w:val="center"/>
          </w:tcPr>
          <w:p>
            <w:pPr>
              <w:jc w:val="right"/>
              <w:rPr>
                <w:rFonts w:ascii="宋体" w:hAnsi="宋体" w:eastAsia="宋体" w:cs="宋体"/>
                <w:sz w:val="18"/>
                <w:szCs w:val="18"/>
              </w:rPr>
            </w:pPr>
            <w:r>
              <w:rPr>
                <w:rFonts w:hint="eastAsia"/>
                <w:sz w:val="18"/>
                <w:szCs w:val="18"/>
              </w:rPr>
              <w:t>120000.00</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页</w:t>
            </w:r>
          </w:p>
        </w:tc>
        <w:tc>
          <w:tcPr>
            <w:tcW w:w="1713" w:type="dxa"/>
            <w:tcBorders>
              <w:tl2br w:val="nil"/>
              <w:tr2bl w:val="nil"/>
            </w:tcBorders>
            <w:vAlign w:val="center"/>
          </w:tcPr>
          <w:p>
            <w:pPr>
              <w:rPr>
                <w:rFonts w:ascii="宋体" w:hAnsi="宋体" w:eastAsia="宋体" w:cs="宋体"/>
                <w:sz w:val="18"/>
                <w:szCs w:val="18"/>
              </w:rPr>
            </w:pPr>
            <w:r>
              <w:rPr>
                <w:rFonts w:hint="eastAsia"/>
                <w:sz w:val="18"/>
                <w:szCs w:val="18"/>
              </w:rPr>
              <w:t>本部门年度工作计划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40"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701" w:type="dxa"/>
            <w:tcBorders>
              <w:tl2br w:val="nil"/>
              <w:tr2bl w:val="nil"/>
            </w:tcBorders>
            <w:vAlign w:val="center"/>
          </w:tcPr>
          <w:p>
            <w:pPr>
              <w:rPr>
                <w:rFonts w:ascii="宋体" w:hAnsi="宋体" w:eastAsia="宋体" w:cs="宋体"/>
                <w:sz w:val="18"/>
                <w:szCs w:val="18"/>
              </w:rPr>
            </w:pPr>
            <w:r>
              <w:rPr>
                <w:rFonts w:hint="eastAsia"/>
                <w:sz w:val="18"/>
                <w:szCs w:val="18"/>
              </w:rPr>
              <w:t>档案整理、移交工作完成率</w:t>
            </w:r>
          </w:p>
        </w:tc>
        <w:tc>
          <w:tcPr>
            <w:tcW w:w="1559" w:type="dxa"/>
            <w:tcBorders>
              <w:tl2br w:val="nil"/>
              <w:tr2bl w:val="nil"/>
            </w:tcBorders>
          </w:tcPr>
          <w:p>
            <w:pPr>
              <w:rPr>
                <w:rFonts w:ascii="宋体" w:hAnsi="宋体" w:eastAsia="宋体" w:cs="宋体"/>
                <w:sz w:val="18"/>
                <w:szCs w:val="18"/>
              </w:rPr>
            </w:pPr>
            <w:r>
              <w:rPr>
                <w:rFonts w:hint="eastAsia"/>
                <w:sz w:val="18"/>
                <w:szCs w:val="18"/>
              </w:rPr>
              <w:t>完成率大于等于90%</w:t>
            </w:r>
          </w:p>
        </w:tc>
        <w:tc>
          <w:tcPr>
            <w:tcW w:w="3402" w:type="dxa"/>
            <w:tcBorders>
              <w:tl2br w:val="nil"/>
              <w:tr2bl w:val="nil"/>
            </w:tcBorders>
            <w:vAlign w:val="center"/>
          </w:tcPr>
          <w:p>
            <w:pPr>
              <w:rPr>
                <w:rFonts w:ascii="宋体" w:hAnsi="宋体" w:eastAsia="宋体" w:cs="宋体"/>
                <w:sz w:val="18"/>
                <w:szCs w:val="18"/>
              </w:rPr>
            </w:pPr>
            <w:r>
              <w:rPr>
                <w:rFonts w:hint="eastAsia"/>
                <w:sz w:val="18"/>
                <w:szCs w:val="18"/>
              </w:rPr>
              <w:t>年度内已完成的档案整理、移交、接收、管理、保存工作量占计划量的的比例</w:t>
            </w:r>
          </w:p>
        </w:tc>
        <w:tc>
          <w:tcPr>
            <w:tcW w:w="567" w:type="dxa"/>
            <w:tcBorders>
              <w:tl2br w:val="nil"/>
              <w:tr2bl w:val="nil"/>
            </w:tcBorders>
            <w:vAlign w:val="center"/>
          </w:tcPr>
          <w:p>
            <w:pPr>
              <w:jc w:val="center"/>
              <w:rPr>
                <w:rFonts w:ascii="宋体" w:hAnsi="宋体" w:eastAsia="宋体" w:cs="宋体"/>
                <w:sz w:val="18"/>
                <w:szCs w:val="18"/>
              </w:rPr>
            </w:pPr>
            <w:r>
              <w:rPr>
                <w:rFonts w:hint="eastAsia"/>
                <w:sz w:val="18"/>
                <w:szCs w:val="18"/>
              </w:rPr>
              <w:t>≥</w:t>
            </w:r>
          </w:p>
        </w:tc>
        <w:tc>
          <w:tcPr>
            <w:tcW w:w="850" w:type="dxa"/>
            <w:tcBorders>
              <w:tl2br w:val="nil"/>
              <w:tr2bl w:val="nil"/>
            </w:tcBorders>
            <w:vAlign w:val="center"/>
          </w:tcPr>
          <w:p>
            <w:pPr>
              <w:jc w:val="center"/>
              <w:rPr>
                <w:rFonts w:ascii="宋体" w:hAnsi="宋体" w:eastAsia="宋体" w:cs="宋体"/>
                <w:sz w:val="18"/>
                <w:szCs w:val="18"/>
              </w:rPr>
            </w:pPr>
            <w:r>
              <w:rPr>
                <w:rFonts w:hint="eastAsia"/>
                <w:sz w:val="18"/>
                <w:szCs w:val="18"/>
              </w:rPr>
              <w:t>90.00</w:t>
            </w:r>
          </w:p>
        </w:tc>
        <w:tc>
          <w:tcPr>
            <w:tcW w:w="851" w:type="dxa"/>
            <w:tcBorders>
              <w:tl2br w:val="nil"/>
              <w:tr2bl w:val="nil"/>
            </w:tcBorders>
            <w:vAlign w:val="center"/>
          </w:tcPr>
          <w:p>
            <w:pPr>
              <w:rPr>
                <w:rFonts w:ascii="宋体" w:hAnsi="宋体" w:eastAsia="宋体" w:cs="宋体"/>
                <w:sz w:val="18"/>
                <w:szCs w:val="18"/>
              </w:rPr>
            </w:pPr>
            <w:r>
              <w:rPr>
                <w:rFonts w:hint="eastAsia"/>
                <w:sz w:val="18"/>
                <w:szCs w:val="18"/>
              </w:rPr>
              <w:t>百分比</w:t>
            </w:r>
          </w:p>
        </w:tc>
        <w:tc>
          <w:tcPr>
            <w:tcW w:w="1713" w:type="dxa"/>
            <w:tcBorders>
              <w:tl2br w:val="nil"/>
              <w:tr2bl w:val="nil"/>
            </w:tcBorders>
            <w:vAlign w:val="center"/>
          </w:tcPr>
          <w:p>
            <w:pPr>
              <w:rPr>
                <w:rFonts w:ascii="宋体" w:hAnsi="宋体" w:eastAsia="宋体" w:cs="宋体"/>
                <w:sz w:val="18"/>
                <w:szCs w:val="18"/>
              </w:rPr>
            </w:pPr>
            <w:r>
              <w:rPr>
                <w:rFonts w:hint="eastAsia"/>
                <w:sz w:val="18"/>
                <w:szCs w:val="18"/>
              </w:rPr>
              <w:t>本部门年度工作计划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940"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1701" w:type="dxa"/>
            <w:tcBorders>
              <w:tl2br w:val="nil"/>
              <w:tr2bl w:val="nil"/>
            </w:tcBorders>
            <w:vAlign w:val="center"/>
          </w:tcPr>
          <w:p>
            <w:pPr>
              <w:rPr>
                <w:rFonts w:ascii="宋体" w:hAnsi="宋体" w:eastAsia="宋体" w:cs="宋体"/>
                <w:sz w:val="18"/>
                <w:szCs w:val="18"/>
              </w:rPr>
            </w:pPr>
            <w:r>
              <w:rPr>
                <w:rFonts w:hint="eastAsia"/>
                <w:sz w:val="18"/>
                <w:szCs w:val="18"/>
              </w:rPr>
              <w:t>档案设施设备完好率</w:t>
            </w:r>
          </w:p>
        </w:tc>
        <w:tc>
          <w:tcPr>
            <w:tcW w:w="1559" w:type="dxa"/>
            <w:tcBorders>
              <w:tl2br w:val="nil"/>
              <w:tr2bl w:val="nil"/>
            </w:tcBorders>
          </w:tcPr>
          <w:p>
            <w:pPr>
              <w:rPr>
                <w:rFonts w:ascii="宋体" w:hAnsi="宋体" w:eastAsia="宋体" w:cs="宋体"/>
                <w:sz w:val="18"/>
                <w:szCs w:val="18"/>
              </w:rPr>
            </w:pPr>
            <w:r>
              <w:rPr>
                <w:rFonts w:hint="eastAsia"/>
                <w:sz w:val="18"/>
                <w:szCs w:val="18"/>
              </w:rPr>
              <w:t>完好率大于等于90%</w:t>
            </w:r>
          </w:p>
        </w:tc>
        <w:tc>
          <w:tcPr>
            <w:tcW w:w="3402" w:type="dxa"/>
            <w:tcBorders>
              <w:tl2br w:val="nil"/>
              <w:tr2bl w:val="nil"/>
            </w:tcBorders>
            <w:vAlign w:val="center"/>
          </w:tcPr>
          <w:p>
            <w:pPr>
              <w:rPr>
                <w:rFonts w:ascii="宋体" w:hAnsi="宋体" w:eastAsia="宋体" w:cs="宋体"/>
                <w:sz w:val="18"/>
                <w:szCs w:val="18"/>
              </w:rPr>
            </w:pPr>
            <w:r>
              <w:rPr>
                <w:rFonts w:hint="eastAsia"/>
                <w:sz w:val="18"/>
                <w:szCs w:val="18"/>
              </w:rPr>
              <w:t>反应档案设施设备能正常运行的数量占档案设施设备总量的比例</w:t>
            </w:r>
          </w:p>
        </w:tc>
        <w:tc>
          <w:tcPr>
            <w:tcW w:w="567" w:type="dxa"/>
            <w:tcBorders>
              <w:tl2br w:val="nil"/>
              <w:tr2bl w:val="nil"/>
            </w:tcBorders>
            <w:vAlign w:val="center"/>
          </w:tcPr>
          <w:p>
            <w:pPr>
              <w:jc w:val="center"/>
              <w:rPr>
                <w:rFonts w:ascii="宋体" w:hAnsi="宋体" w:eastAsia="宋体" w:cs="宋体"/>
                <w:sz w:val="18"/>
                <w:szCs w:val="18"/>
              </w:rPr>
            </w:pPr>
            <w:r>
              <w:rPr>
                <w:rFonts w:hint="eastAsia"/>
                <w:sz w:val="18"/>
                <w:szCs w:val="18"/>
              </w:rPr>
              <w:t>≥</w:t>
            </w:r>
          </w:p>
        </w:tc>
        <w:tc>
          <w:tcPr>
            <w:tcW w:w="850" w:type="dxa"/>
            <w:tcBorders>
              <w:tl2br w:val="nil"/>
              <w:tr2bl w:val="nil"/>
            </w:tcBorders>
            <w:vAlign w:val="center"/>
          </w:tcPr>
          <w:p>
            <w:pPr>
              <w:jc w:val="center"/>
              <w:rPr>
                <w:rFonts w:ascii="宋体" w:hAnsi="宋体" w:eastAsia="宋体" w:cs="宋体"/>
                <w:sz w:val="18"/>
                <w:szCs w:val="18"/>
              </w:rPr>
            </w:pPr>
            <w:r>
              <w:rPr>
                <w:rFonts w:hint="eastAsia"/>
                <w:sz w:val="18"/>
                <w:szCs w:val="18"/>
              </w:rPr>
              <w:t>90.00</w:t>
            </w:r>
          </w:p>
        </w:tc>
        <w:tc>
          <w:tcPr>
            <w:tcW w:w="851" w:type="dxa"/>
            <w:tcBorders>
              <w:tl2br w:val="nil"/>
              <w:tr2bl w:val="nil"/>
            </w:tcBorders>
            <w:vAlign w:val="center"/>
          </w:tcPr>
          <w:p>
            <w:pPr>
              <w:rPr>
                <w:rFonts w:ascii="宋体" w:hAnsi="宋体" w:eastAsia="宋体" w:cs="宋体"/>
                <w:sz w:val="18"/>
                <w:szCs w:val="18"/>
              </w:rPr>
            </w:pPr>
            <w:r>
              <w:rPr>
                <w:rFonts w:hint="eastAsia"/>
                <w:sz w:val="18"/>
                <w:szCs w:val="18"/>
              </w:rPr>
              <w:t>百分比</w:t>
            </w:r>
          </w:p>
        </w:tc>
        <w:tc>
          <w:tcPr>
            <w:tcW w:w="1713" w:type="dxa"/>
            <w:tcBorders>
              <w:tl2br w:val="nil"/>
              <w:tr2bl w:val="nil"/>
            </w:tcBorders>
            <w:vAlign w:val="center"/>
          </w:tcPr>
          <w:p>
            <w:pPr>
              <w:rPr>
                <w:rFonts w:ascii="宋体" w:hAnsi="宋体" w:eastAsia="宋体" w:cs="宋体"/>
                <w:sz w:val="18"/>
                <w:szCs w:val="18"/>
              </w:rPr>
            </w:pPr>
            <w:r>
              <w:rPr>
                <w:rFonts w:hint="eastAsia"/>
                <w:sz w:val="18"/>
                <w:szCs w:val="18"/>
              </w:rPr>
              <w:t>本部门年度工作计划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40"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效益</w:t>
            </w:r>
          </w:p>
        </w:tc>
        <w:tc>
          <w:tcPr>
            <w:tcW w:w="1701" w:type="dxa"/>
            <w:tcBorders>
              <w:tl2br w:val="nil"/>
              <w:tr2bl w:val="nil"/>
            </w:tcBorders>
            <w:vAlign w:val="center"/>
          </w:tcPr>
          <w:p>
            <w:pPr>
              <w:rPr>
                <w:rFonts w:ascii="宋体" w:hAnsi="宋体" w:eastAsia="宋体" w:cs="宋体"/>
                <w:sz w:val="18"/>
                <w:szCs w:val="18"/>
              </w:rPr>
            </w:pPr>
            <w:r>
              <w:rPr>
                <w:rFonts w:hint="eastAsia"/>
                <w:sz w:val="18"/>
                <w:szCs w:val="18"/>
              </w:rPr>
              <w:t>是否提高馆藏量</w:t>
            </w:r>
          </w:p>
          <w:p>
            <w:pPr>
              <w:rPr>
                <w:rFonts w:ascii="宋体" w:hAnsi="宋体" w:eastAsia="宋体" w:cs="宋体"/>
                <w:sz w:val="18"/>
                <w:szCs w:val="18"/>
              </w:rPr>
            </w:pPr>
          </w:p>
        </w:tc>
        <w:tc>
          <w:tcPr>
            <w:tcW w:w="1559" w:type="dxa"/>
            <w:tcBorders>
              <w:tl2br w:val="nil"/>
              <w:tr2bl w:val="nil"/>
            </w:tcBorders>
          </w:tcPr>
          <w:p>
            <w:pPr>
              <w:rPr>
                <w:rFonts w:ascii="宋体" w:hAnsi="宋体" w:eastAsia="宋体" w:cs="宋体"/>
                <w:sz w:val="18"/>
                <w:szCs w:val="18"/>
              </w:rPr>
            </w:pPr>
            <w:r>
              <w:rPr>
                <w:rFonts w:hint="eastAsia"/>
                <w:sz w:val="18"/>
                <w:szCs w:val="18"/>
              </w:rPr>
              <w:t>是否提高</w:t>
            </w:r>
          </w:p>
        </w:tc>
        <w:tc>
          <w:tcPr>
            <w:tcW w:w="3402" w:type="dxa"/>
            <w:tcBorders>
              <w:tl2br w:val="nil"/>
              <w:tr2bl w:val="nil"/>
            </w:tcBorders>
            <w:vAlign w:val="center"/>
          </w:tcPr>
          <w:p>
            <w:pPr>
              <w:rPr>
                <w:rFonts w:ascii="宋体" w:hAnsi="宋体" w:eastAsia="宋体" w:cs="宋体"/>
                <w:sz w:val="18"/>
                <w:szCs w:val="18"/>
              </w:rPr>
            </w:pPr>
            <w:r>
              <w:rPr>
                <w:rFonts w:hint="eastAsia"/>
                <w:sz w:val="18"/>
                <w:szCs w:val="18"/>
              </w:rPr>
              <w:t>是否提高馆藏量</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51" w:type="dxa"/>
            <w:tcBorders>
              <w:tl2br w:val="nil"/>
              <w:tr2bl w:val="nil"/>
            </w:tcBorders>
            <w:vAlign w:val="center"/>
          </w:tcPr>
          <w:p>
            <w:pPr>
              <w:rPr>
                <w:rFonts w:ascii="宋体" w:hAnsi="宋体" w:eastAsia="宋体" w:cs="宋体"/>
                <w:sz w:val="18"/>
                <w:szCs w:val="18"/>
              </w:rPr>
            </w:pPr>
            <w:r>
              <w:rPr>
                <w:rFonts w:hint="eastAsia"/>
                <w:sz w:val="18"/>
                <w:szCs w:val="18"/>
              </w:rPr>
              <w:t>是否提高</w:t>
            </w:r>
          </w:p>
        </w:tc>
        <w:tc>
          <w:tcPr>
            <w:tcW w:w="1713" w:type="dxa"/>
            <w:tcBorders>
              <w:tl2br w:val="nil"/>
              <w:tr2bl w:val="nil"/>
            </w:tcBorders>
            <w:vAlign w:val="center"/>
          </w:tcPr>
          <w:p>
            <w:pPr>
              <w:rPr>
                <w:rFonts w:ascii="宋体" w:hAnsi="宋体" w:eastAsia="宋体" w:cs="宋体"/>
                <w:sz w:val="18"/>
                <w:szCs w:val="18"/>
              </w:rPr>
            </w:pPr>
            <w:r>
              <w:rPr>
                <w:rFonts w:hint="eastAsia"/>
                <w:sz w:val="18"/>
                <w:szCs w:val="18"/>
              </w:rPr>
              <w:t>本部门年度工作计划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40" w:type="dxa"/>
            <w:vMerge w:val="continue"/>
            <w:tcBorders>
              <w:tl2br w:val="nil"/>
              <w:tr2bl w:val="nil"/>
            </w:tcBorders>
            <w:vAlign w:val="center"/>
          </w:tcPr>
          <w:p/>
        </w:tc>
        <w:tc>
          <w:tcPr>
            <w:tcW w:w="113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社会效益</w:t>
            </w:r>
          </w:p>
        </w:tc>
        <w:tc>
          <w:tcPr>
            <w:tcW w:w="1701" w:type="dxa"/>
            <w:tcBorders>
              <w:tl2br w:val="nil"/>
              <w:tr2bl w:val="nil"/>
            </w:tcBorders>
            <w:vAlign w:val="center"/>
          </w:tcPr>
          <w:p>
            <w:pPr>
              <w:rPr>
                <w:rFonts w:ascii="宋体" w:hAnsi="宋体" w:eastAsia="宋体" w:cs="宋体"/>
                <w:sz w:val="18"/>
                <w:szCs w:val="18"/>
              </w:rPr>
            </w:pPr>
            <w:r>
              <w:rPr>
                <w:rFonts w:hint="eastAsia"/>
                <w:sz w:val="18"/>
                <w:szCs w:val="18"/>
              </w:rPr>
              <w:t>是否提高档案的利用率</w:t>
            </w:r>
          </w:p>
        </w:tc>
        <w:tc>
          <w:tcPr>
            <w:tcW w:w="1559" w:type="dxa"/>
            <w:tcBorders>
              <w:tl2br w:val="nil"/>
              <w:tr2bl w:val="nil"/>
            </w:tcBorders>
            <w:vAlign w:val="center"/>
          </w:tcPr>
          <w:p>
            <w:pPr>
              <w:rPr>
                <w:rFonts w:ascii="宋体" w:hAnsi="宋体" w:eastAsia="宋体" w:cs="宋体"/>
                <w:sz w:val="18"/>
                <w:szCs w:val="18"/>
              </w:rPr>
            </w:pPr>
            <w:r>
              <w:rPr>
                <w:rFonts w:hint="eastAsia"/>
                <w:sz w:val="18"/>
                <w:szCs w:val="18"/>
              </w:rPr>
              <w:t>是否完成</w:t>
            </w:r>
          </w:p>
          <w:p>
            <w:pPr>
              <w:rPr>
                <w:rFonts w:ascii="宋体" w:hAnsi="宋体" w:eastAsia="宋体" w:cs="宋体"/>
                <w:sz w:val="18"/>
                <w:szCs w:val="18"/>
              </w:rPr>
            </w:pPr>
          </w:p>
        </w:tc>
        <w:tc>
          <w:tcPr>
            <w:tcW w:w="3402" w:type="dxa"/>
            <w:tcBorders>
              <w:tl2br w:val="nil"/>
              <w:tr2bl w:val="nil"/>
            </w:tcBorders>
            <w:vAlign w:val="center"/>
          </w:tcPr>
          <w:p>
            <w:pPr>
              <w:rPr>
                <w:rFonts w:ascii="宋体" w:hAnsi="宋体" w:eastAsia="宋体" w:cs="宋体"/>
                <w:sz w:val="18"/>
                <w:szCs w:val="18"/>
              </w:rPr>
            </w:pPr>
            <w:r>
              <w:rPr>
                <w:rFonts w:hint="eastAsia"/>
                <w:sz w:val="18"/>
                <w:szCs w:val="18"/>
              </w:rPr>
              <w:t>是否提高档案的利用率</w:t>
            </w:r>
          </w:p>
        </w:tc>
        <w:tc>
          <w:tcPr>
            <w:tcW w:w="56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51" w:type="dxa"/>
            <w:tcBorders>
              <w:tl2br w:val="nil"/>
              <w:tr2bl w:val="nil"/>
            </w:tcBorders>
            <w:vAlign w:val="center"/>
          </w:tcPr>
          <w:p>
            <w:pPr>
              <w:rPr>
                <w:rFonts w:ascii="宋体" w:hAnsi="宋体" w:eastAsia="宋体" w:cs="宋体"/>
                <w:sz w:val="18"/>
                <w:szCs w:val="18"/>
              </w:rPr>
            </w:pPr>
            <w:r>
              <w:rPr>
                <w:rFonts w:hint="eastAsia"/>
                <w:sz w:val="18"/>
                <w:szCs w:val="18"/>
              </w:rPr>
              <w:t>是否完成</w:t>
            </w:r>
          </w:p>
        </w:tc>
        <w:tc>
          <w:tcPr>
            <w:tcW w:w="1713" w:type="dxa"/>
            <w:tcBorders>
              <w:tl2br w:val="nil"/>
              <w:tr2bl w:val="nil"/>
            </w:tcBorders>
            <w:vAlign w:val="center"/>
          </w:tcPr>
          <w:p>
            <w:pPr>
              <w:rPr>
                <w:rFonts w:ascii="宋体" w:hAnsi="宋体" w:eastAsia="宋体" w:cs="宋体"/>
                <w:sz w:val="18"/>
                <w:szCs w:val="18"/>
              </w:rPr>
            </w:pPr>
            <w:r>
              <w:rPr>
                <w:rFonts w:hint="eastAsia"/>
                <w:sz w:val="18"/>
                <w:szCs w:val="18"/>
              </w:rPr>
              <w:t>本部门年度工作计划</w:t>
            </w:r>
          </w:p>
        </w:tc>
      </w:tr>
      <w:bookmarkEnd w:id="1"/>
    </w:tbl>
    <w:p>
      <w:pPr>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1年，我部门无政府采购预算。</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霸州市档案馆上年末固定资产金额为64.67万元（详见下表）。</w:t>
      </w:r>
      <w:r>
        <w:rPr>
          <w:rFonts w:ascii="仿宋_GB2312" w:hAnsi="黑体" w:eastAsia="仿宋_GB2312" w:cs="Times New Roman"/>
          <w:b/>
          <w:color w:val="FF0000"/>
          <w:sz w:val="32"/>
          <w:szCs w:val="32"/>
        </w:rPr>
        <w:t xml:space="preserve"> </w:t>
      </w:r>
      <w:r>
        <w:rPr>
          <w:rFonts w:ascii="仿宋_GB2312" w:hAnsi="黑体" w:eastAsia="仿宋_GB2312" w:cs="Times New Roman"/>
          <w:sz w:val="32"/>
          <w:szCs w:val="32"/>
        </w:rPr>
        <w:t>202</w:t>
      </w:r>
      <w:r>
        <w:rPr>
          <w:rFonts w:hint="eastAsia" w:ascii="仿宋_GB2312" w:hAnsi="黑体" w:eastAsia="仿宋_GB2312" w:cs="Times New Roman"/>
          <w:sz w:val="32"/>
          <w:szCs w:val="32"/>
        </w:rPr>
        <w:t>1年</w:t>
      </w:r>
      <w:r>
        <w:rPr>
          <w:rFonts w:ascii="仿宋_GB2312" w:hAnsi="黑体" w:eastAsia="仿宋_GB2312" w:cs="Times New Roman"/>
          <w:sz w:val="32"/>
          <w:szCs w:val="32"/>
        </w:rPr>
        <w:t>，我部门无新增固定资产计划</w:t>
      </w:r>
      <w:r>
        <w:rPr>
          <w:rFonts w:hint="eastAsia" w:ascii="仿宋_GB2312" w:hAnsi="黑体" w:eastAsia="仿宋_GB2312" w:cs="Times New Roman"/>
          <w:sz w:val="32"/>
          <w:szCs w:val="32"/>
        </w:rPr>
        <w:t>。</w:t>
      </w:r>
      <w:r>
        <w:rPr>
          <w:rFonts w:ascii="仿宋_GB2312" w:hAnsi="黑体" w:eastAsia="仿宋_GB2312" w:cs="Times New Roman"/>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霸州市档案馆固定资产占用情况表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编制部门：505霸州市档案馆</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64.67</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55.67</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4</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9288C"/>
    <w:multiLevelType w:val="singleLevel"/>
    <w:tmpl w:val="4EB928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jZGNlYjRhYTM1YTMxMjQ5MDRkODQxZjA3YWIxMzI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0670"/>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1F7EDC"/>
    <w:rsid w:val="00204C18"/>
    <w:rsid w:val="00222A8D"/>
    <w:rsid w:val="00224AB9"/>
    <w:rsid w:val="00225DD0"/>
    <w:rsid w:val="00226AF2"/>
    <w:rsid w:val="00236A9E"/>
    <w:rsid w:val="00241FD4"/>
    <w:rsid w:val="00247E02"/>
    <w:rsid w:val="00250623"/>
    <w:rsid w:val="00251B12"/>
    <w:rsid w:val="002543BE"/>
    <w:rsid w:val="00255206"/>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403F"/>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6F71F2"/>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E4C97"/>
    <w:rsid w:val="009F225E"/>
    <w:rsid w:val="009F7DF9"/>
    <w:rsid w:val="009F7FFC"/>
    <w:rsid w:val="00A003B8"/>
    <w:rsid w:val="00A03100"/>
    <w:rsid w:val="00A1176E"/>
    <w:rsid w:val="00A22398"/>
    <w:rsid w:val="00A4039F"/>
    <w:rsid w:val="00A44217"/>
    <w:rsid w:val="00A4468A"/>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5105"/>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D0C21"/>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538"/>
    <w:rsid w:val="00F57F4F"/>
    <w:rsid w:val="00F617B7"/>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15934DDA"/>
    <w:rsid w:val="2054547A"/>
    <w:rsid w:val="25843B26"/>
    <w:rsid w:val="42946782"/>
    <w:rsid w:val="55E155BE"/>
    <w:rsid w:val="63502E38"/>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Char"/>
    <w:basedOn w:val="8"/>
    <w:link w:val="4"/>
    <w:qFormat/>
    <w:uiPriority w:val="0"/>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0658-A7B1-44AF-B185-DF4F5B2A7B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3378</Words>
  <Characters>3551</Characters>
  <Lines>26</Lines>
  <Paragraphs>7</Paragraphs>
  <TotalTime>79</TotalTime>
  <ScaleCrop>false</ScaleCrop>
  <LinksUpToDate>false</LinksUpToDate>
  <CharactersWithSpaces>3594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开心果</cp:lastModifiedBy>
  <cp:lastPrinted>2018-02-28T01:51:00Z</cp:lastPrinted>
  <dcterms:modified xsi:type="dcterms:W3CDTF">2022-09-07T02:55:07Z</dcterms:modified>
  <cp:revision>1412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AFA8BD8C29734DDF81C89F8A79B46B20</vt:lpwstr>
  </property>
</Properties>
</file>